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15279" w14:textId="77777777" w:rsidR="00243289"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Anuario de Derecho Público</w:t>
      </w:r>
    </w:p>
    <w:p w14:paraId="0F55B5C4" w14:textId="77777777" w:rsidR="00243289"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Programa de Derecho Público</w:t>
      </w:r>
    </w:p>
    <w:p w14:paraId="662AD074" w14:textId="77777777" w:rsidR="00243289"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Facultad de Derecho, Universidad Diego Portales</w:t>
      </w:r>
    </w:p>
    <w:p w14:paraId="138BF172" w14:textId="77777777" w:rsidR="00243289" w:rsidRDefault="00243289">
      <w:pPr>
        <w:rPr>
          <w:rFonts w:ascii="Play" w:eastAsia="Play" w:hAnsi="Play" w:cs="Play"/>
          <w:b/>
          <w:bCs/>
        </w:rPr>
      </w:pPr>
    </w:p>
    <w:p w14:paraId="7ABA6D30" w14:textId="77777777" w:rsidR="00243289"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CONCURSO ESTUDIANTIL 2026</w:t>
      </w:r>
    </w:p>
    <w:p w14:paraId="5CFBD547" w14:textId="77777777" w:rsidR="00243289" w:rsidRDefault="00243289">
      <w:pPr>
        <w:rPr>
          <w:rFonts w:ascii="Times New Roman" w:eastAsia="Times New Roman" w:hAnsi="Times New Roman" w:cs="Times New Roman"/>
        </w:rPr>
      </w:pPr>
    </w:p>
    <w:p w14:paraId="4431F4F6" w14:textId="77777777" w:rsidR="00243289" w:rsidRDefault="00000000">
      <w:pPr>
        <w:jc w:val="both"/>
        <w:rPr>
          <w:rFonts w:ascii="Times New Roman" w:eastAsia="Times New Roman" w:hAnsi="Times New Roman" w:cs="Times New Roman"/>
        </w:rPr>
      </w:pPr>
      <w:r>
        <w:rPr>
          <w:rFonts w:ascii="Times New Roman" w:eastAsia="Times New Roman" w:hAnsi="Times New Roman" w:cs="Times New Roman"/>
        </w:rPr>
        <w:t>La Dirección y el Comité Editorial del Anuario de Derecho Público UDP, La Facultad de Derecho de la Universidad Diego Portales y su Programa de Derecho Público convocan a estudiantes de la carrera de Derecho o ciencias afines a participar en el “</w:t>
      </w:r>
      <w:r>
        <w:rPr>
          <w:rFonts w:ascii="Times New Roman" w:eastAsia="Times New Roman" w:hAnsi="Times New Roman" w:cs="Times New Roman"/>
          <w:b/>
          <w:bCs/>
        </w:rPr>
        <w:t>Concurso de ensayos jurídicos sobre Derecho Público”</w:t>
      </w:r>
      <w:r>
        <w:rPr>
          <w:rFonts w:ascii="Times New Roman" w:eastAsia="Times New Roman" w:hAnsi="Times New Roman" w:cs="Times New Roman"/>
        </w:rPr>
        <w:t xml:space="preserve">. </w:t>
      </w:r>
    </w:p>
    <w:p w14:paraId="4B8F57FC" w14:textId="77777777" w:rsidR="00243289" w:rsidRDefault="00243289">
      <w:pPr>
        <w:jc w:val="both"/>
        <w:rPr>
          <w:rFonts w:ascii="Times New Roman" w:eastAsia="Times New Roman" w:hAnsi="Times New Roman" w:cs="Times New Roman"/>
        </w:rPr>
      </w:pPr>
    </w:p>
    <w:p w14:paraId="552F377C" w14:textId="77777777" w:rsidR="00243289" w:rsidRDefault="00000000">
      <w:pPr>
        <w:jc w:val="both"/>
        <w:rPr>
          <w:rFonts w:ascii="Times New Roman" w:eastAsia="Times New Roman" w:hAnsi="Times New Roman" w:cs="Times New Roman"/>
        </w:rPr>
      </w:pPr>
      <w:r>
        <w:rPr>
          <w:rFonts w:ascii="Times New Roman" w:eastAsia="Times New Roman" w:hAnsi="Times New Roman" w:cs="Times New Roman"/>
        </w:rPr>
        <w:t>La convocatoria tiene por objetivo contribuir a la divulgación jurídica sobre temas relevantes en el área de estudio desde la reflexión crítica y la producción académica. El ensayo que resulte galardonado será publicado en el Volumen II, de la edición 2026 del Anuario de Derecho Público de la Universidad Diego Portales.</w:t>
      </w:r>
    </w:p>
    <w:p w14:paraId="0F708131" w14:textId="77777777" w:rsidR="00243289" w:rsidRDefault="00243289">
      <w:pPr>
        <w:jc w:val="both"/>
        <w:rPr>
          <w:rFonts w:ascii="Times New Roman" w:eastAsia="Times New Roman" w:hAnsi="Times New Roman" w:cs="Times New Roman"/>
        </w:rPr>
      </w:pPr>
    </w:p>
    <w:p w14:paraId="6A18F2EA" w14:textId="77777777" w:rsidR="00243289"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El Anuario es una publicación que busca dar cuenta, a través de diversas aportaciones relativamente breves, de los avances (o retrocesos) del derecho constitucional, derecho administrativo, derecho internacional público, derecho ambiental, derecho tributario y derecho del trabajo en el año respectivo. Su objetivo es comentar desarrollos jurídicos (reformas constitucionales y legislativas, tratados internacionales y normas administrativas); sentencias especialmente emblemáticas, publicaciones académicas, y la discusión pública habida en el período en cada uno de estos campos del derecho público. </w:t>
      </w:r>
    </w:p>
    <w:p w14:paraId="5A2BEB19" w14:textId="77777777" w:rsidR="00243289" w:rsidRDefault="00243289">
      <w:pPr>
        <w:jc w:val="both"/>
        <w:rPr>
          <w:rFonts w:ascii="Times New Roman" w:eastAsia="Times New Roman" w:hAnsi="Times New Roman" w:cs="Times New Roman"/>
        </w:rPr>
      </w:pPr>
    </w:p>
    <w:p w14:paraId="61E71418" w14:textId="77777777" w:rsidR="00243289" w:rsidRDefault="00000000">
      <w:pPr>
        <w:spacing w:before="280" w:after="280"/>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Bases concursales:</w:t>
      </w:r>
    </w:p>
    <w:p w14:paraId="78FAB9C7" w14:textId="77777777" w:rsidR="00243289" w:rsidRDefault="00000000">
      <w:pPr>
        <w:spacing w:before="280" w:after="2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Podrán participar las y los estudiantes de las carreras de Derecho o ciencias afines de cualquier institución de educación superior del país. </w:t>
      </w:r>
    </w:p>
    <w:p w14:paraId="45B5F80F" w14:textId="77777777" w:rsidR="00243289" w:rsidRDefault="00000000">
      <w:pPr>
        <w:spacing w:before="280" w:after="280"/>
        <w:jc w:val="both"/>
        <w:rPr>
          <w:rFonts w:ascii="Times New Roman" w:eastAsia="Times New Roman" w:hAnsi="Times New Roman" w:cs="Times New Roman"/>
          <w:color w:val="000000"/>
        </w:rPr>
      </w:pPr>
      <w:r>
        <w:rPr>
          <w:rFonts w:ascii="Times New Roman" w:eastAsia="Times New Roman" w:hAnsi="Times New Roman" w:cs="Times New Roman"/>
          <w:color w:val="000000"/>
        </w:rPr>
        <w:t>2. Los trabajos deberán abordar </w:t>
      </w:r>
      <w:r>
        <w:rPr>
          <w:rFonts w:ascii="Times New Roman" w:eastAsia="Times New Roman" w:hAnsi="Times New Roman" w:cs="Times New Roman"/>
          <w:b/>
          <w:bCs/>
          <w:color w:val="000000"/>
        </w:rPr>
        <w:t>alguna problemática relevante en el ámbito del Derecho Público</w:t>
      </w:r>
      <w:r>
        <w:rPr>
          <w:rFonts w:ascii="Times New Roman" w:eastAsia="Times New Roman" w:hAnsi="Times New Roman" w:cs="Times New Roman"/>
          <w:color w:val="000000"/>
        </w:rPr>
        <w:t xml:space="preserve">, pudiendo referirse, entre otras materias, a Derecho Constitucional, Derecho Administrativo, Derecho Internacional Público, Derecho Ambiental, Derecho Tributario, Derecho del Trabajo u otra disciplina desde la que se pueda aportar a un análisis </w:t>
      </w:r>
      <w:proofErr w:type="spellStart"/>
      <w:r>
        <w:rPr>
          <w:rFonts w:ascii="Times New Roman" w:eastAsia="Times New Roman" w:hAnsi="Times New Roman" w:cs="Times New Roman"/>
          <w:i/>
          <w:iCs/>
          <w:color w:val="000000"/>
        </w:rPr>
        <w:t>iuspublicista</w:t>
      </w:r>
      <w:proofErr w:type="spellEnd"/>
      <w:r>
        <w:rPr>
          <w:rFonts w:ascii="Times New Roman" w:eastAsia="Times New Roman" w:hAnsi="Times New Roman" w:cs="Times New Roman"/>
          <w:color w:val="000000"/>
        </w:rPr>
        <w:t>, que hayan tenido lugar durante el año 2025 e inicio</w:t>
      </w:r>
      <w:r>
        <w:rPr>
          <w:rFonts w:ascii="Times New Roman" w:eastAsia="Times New Roman" w:hAnsi="Times New Roman" w:cs="Times New Roman"/>
        </w:rPr>
        <w:t>s de 2026</w:t>
      </w:r>
      <w:r>
        <w:rPr>
          <w:rFonts w:ascii="Times New Roman" w:eastAsia="Times New Roman" w:hAnsi="Times New Roman" w:cs="Times New Roman"/>
          <w:color w:val="000000"/>
        </w:rPr>
        <w:t xml:space="preserve">. </w:t>
      </w:r>
    </w:p>
    <w:p w14:paraId="70FA3F86" w14:textId="77777777" w:rsidR="00243289"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3. Los trabajos enviados deberán cumplir con los requisitos formales que se adjuntan a continuación:</w:t>
      </w:r>
    </w:p>
    <w:p w14:paraId="4B63DCFB" w14:textId="77777777" w:rsidR="00243289" w:rsidRDefault="00000000">
      <w:pPr>
        <w:numPr>
          <w:ilvl w:val="0"/>
          <w:numId w:val="1"/>
        </w:numPr>
        <w:jc w:val="both"/>
        <w:rPr>
          <w:rFonts w:ascii="Times New Roman" w:eastAsia="Times New Roman" w:hAnsi="Times New Roman" w:cs="Times New Roman"/>
          <w:color w:val="000000"/>
        </w:rPr>
      </w:pPr>
      <w:r>
        <w:rPr>
          <w:rFonts w:ascii="Times New Roman" w:eastAsia="Times New Roman" w:hAnsi="Times New Roman" w:cs="Times New Roman"/>
          <w:color w:val="000000"/>
        </w:rPr>
        <w:t>El ensayo deberá ser </w:t>
      </w:r>
      <w:r>
        <w:rPr>
          <w:rFonts w:ascii="Times New Roman" w:eastAsia="Times New Roman" w:hAnsi="Times New Roman" w:cs="Times New Roman"/>
          <w:b/>
          <w:bCs/>
          <w:color w:val="000000"/>
        </w:rPr>
        <w:t>original e inédito</w:t>
      </w:r>
      <w:r>
        <w:rPr>
          <w:rFonts w:ascii="Times New Roman" w:eastAsia="Times New Roman" w:hAnsi="Times New Roman" w:cs="Times New Roman"/>
          <w:color w:val="000000"/>
        </w:rPr>
        <w:t>.</w:t>
      </w:r>
    </w:p>
    <w:p w14:paraId="51217933" w14:textId="77777777" w:rsidR="00243289" w:rsidRDefault="00000000">
      <w:pPr>
        <w:numPr>
          <w:ilvl w:val="0"/>
          <w:numId w:val="1"/>
        </w:numPr>
        <w:jc w:val="both"/>
        <w:rPr>
          <w:rFonts w:ascii="Times New Roman" w:eastAsia="Times New Roman" w:hAnsi="Times New Roman" w:cs="Times New Roman"/>
          <w:color w:val="000000"/>
        </w:rPr>
      </w:pPr>
      <w:r>
        <w:rPr>
          <w:rFonts w:ascii="Times New Roman" w:eastAsia="Times New Roman" w:hAnsi="Times New Roman" w:cs="Times New Roman"/>
          <w:color w:val="000000"/>
        </w:rPr>
        <w:t>Tendrá una extensión máxima de </w:t>
      </w:r>
      <w:r>
        <w:rPr>
          <w:rFonts w:ascii="Times New Roman" w:eastAsia="Times New Roman" w:hAnsi="Times New Roman" w:cs="Times New Roman"/>
          <w:b/>
          <w:bCs/>
          <w:color w:val="000000"/>
        </w:rPr>
        <w:t>10 páginas</w:t>
      </w:r>
      <w:r>
        <w:rPr>
          <w:rFonts w:ascii="Times New Roman" w:eastAsia="Times New Roman" w:hAnsi="Times New Roman" w:cs="Times New Roman"/>
          <w:color w:val="000000"/>
        </w:rPr>
        <w:t> (tamaño carta).</w:t>
      </w:r>
    </w:p>
    <w:p w14:paraId="0C338893" w14:textId="77777777" w:rsidR="00243289" w:rsidRDefault="00000000">
      <w:pPr>
        <w:numPr>
          <w:ilvl w:val="0"/>
          <w:numId w:val="1"/>
        </w:numPr>
        <w:jc w:val="both"/>
        <w:rPr>
          <w:rFonts w:ascii="Times New Roman" w:eastAsia="Times New Roman" w:hAnsi="Times New Roman" w:cs="Times New Roman"/>
          <w:color w:val="000000"/>
        </w:rPr>
      </w:pPr>
      <w:r>
        <w:rPr>
          <w:rFonts w:ascii="Times New Roman" w:eastAsia="Times New Roman" w:hAnsi="Times New Roman" w:cs="Times New Roman"/>
          <w:color w:val="000000"/>
        </w:rPr>
        <w:t>Deberá estar redactado en formato Word, con letra tamaño 12, interlineado 1,5 y márgenes estándar.</w:t>
      </w:r>
    </w:p>
    <w:p w14:paraId="300B2A39" w14:textId="77777777" w:rsidR="00243289" w:rsidRDefault="00000000">
      <w:pPr>
        <w:numPr>
          <w:ilvl w:val="0"/>
          <w:numId w:val="1"/>
        </w:numPr>
        <w:spacing w:after="2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Las citas y referencias deberán ajustarse a un formato uniforme que se adjunta. </w:t>
      </w:r>
    </w:p>
    <w:p w14:paraId="375F96BD" w14:textId="77777777" w:rsidR="00243289" w:rsidRDefault="00000000">
      <w:pPr>
        <w:spacing w:before="280" w:after="2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 Los ensayos deberán ser enviados al correo electrónico </w:t>
      </w:r>
      <w:hyperlink r:id="rId6">
        <w:r>
          <w:rPr>
            <w:rFonts w:ascii="Times New Roman" w:eastAsia="Times New Roman" w:hAnsi="Times New Roman" w:cs="Times New Roman"/>
            <w:color w:val="1155CC"/>
            <w:u w:val="single"/>
          </w:rPr>
          <w:t>programaderechopublico@mail.udp.cl</w:t>
        </w:r>
      </w:hyperlink>
      <w:r>
        <w:rPr>
          <w:rFonts w:ascii="Times New Roman" w:eastAsia="Times New Roman" w:hAnsi="Times New Roman" w:cs="Times New Roman"/>
        </w:rPr>
        <w:t xml:space="preserve"> </w:t>
      </w:r>
      <w:r>
        <w:rPr>
          <w:rFonts w:ascii="Times New Roman" w:eastAsia="Times New Roman" w:hAnsi="Times New Roman" w:cs="Times New Roman"/>
          <w:color w:val="000000"/>
        </w:rPr>
        <w:t>, indicando en el asunto: “</w:t>
      </w:r>
      <w:r>
        <w:rPr>
          <w:rFonts w:ascii="Times New Roman" w:eastAsia="Times New Roman" w:hAnsi="Times New Roman" w:cs="Times New Roman"/>
          <w:i/>
          <w:iCs/>
          <w:color w:val="000000"/>
        </w:rPr>
        <w:t xml:space="preserve">Concurso de Ensayos </w:t>
      </w:r>
      <w:r>
        <w:rPr>
          <w:rFonts w:ascii="Times New Roman" w:eastAsia="Times New Roman" w:hAnsi="Times New Roman" w:cs="Times New Roman"/>
          <w:i/>
          <w:iCs/>
          <w:color w:val="000000"/>
        </w:rPr>
        <w:lastRenderedPageBreak/>
        <w:t>Derecho Público – [Nombre del participante]</w:t>
      </w:r>
      <w:r>
        <w:rPr>
          <w:rFonts w:ascii="Times New Roman" w:eastAsia="Times New Roman" w:hAnsi="Times New Roman" w:cs="Times New Roman"/>
          <w:color w:val="000000"/>
        </w:rPr>
        <w:t xml:space="preserve">”. Junto al texto la persona deberá enviar sus datos de identificación, filiación institucional y correo electrónico. </w:t>
      </w:r>
    </w:p>
    <w:p w14:paraId="692695D1" w14:textId="77777777" w:rsidR="00243289" w:rsidRDefault="00000000">
      <w:pPr>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5. </w:t>
      </w:r>
      <w:r>
        <w:rPr>
          <w:rFonts w:ascii="Times New Roman" w:eastAsia="Times New Roman" w:hAnsi="Times New Roman" w:cs="Times New Roman"/>
          <w:color w:val="000000"/>
        </w:rPr>
        <w:t>Los trabajos serán evaluados por las y los integrantes del Comité Editorial del Anuario de Derecho Público conforme a los siguientes criterios:</w:t>
      </w:r>
    </w:p>
    <w:p w14:paraId="084E65DF" w14:textId="77777777" w:rsidR="00243289" w:rsidRDefault="00000000">
      <w:pPr>
        <w:numPr>
          <w:ilvl w:val="0"/>
          <w:numId w:val="2"/>
        </w:numPr>
        <w:jc w:val="both"/>
        <w:rPr>
          <w:rFonts w:ascii="Times New Roman" w:eastAsia="Times New Roman" w:hAnsi="Times New Roman" w:cs="Times New Roman"/>
          <w:color w:val="000000"/>
        </w:rPr>
      </w:pPr>
      <w:r>
        <w:rPr>
          <w:rFonts w:ascii="Times New Roman" w:eastAsia="Times New Roman" w:hAnsi="Times New Roman" w:cs="Times New Roman"/>
          <w:color w:val="000000"/>
        </w:rPr>
        <w:t>Relevancia y originalidad del tema.</w:t>
      </w:r>
    </w:p>
    <w:p w14:paraId="42A6C18D" w14:textId="77777777" w:rsidR="00243289" w:rsidRDefault="00000000">
      <w:pPr>
        <w:numPr>
          <w:ilvl w:val="0"/>
          <w:numId w:val="2"/>
        </w:numPr>
        <w:jc w:val="both"/>
        <w:rPr>
          <w:rFonts w:ascii="Times New Roman" w:eastAsia="Times New Roman" w:hAnsi="Times New Roman" w:cs="Times New Roman"/>
          <w:color w:val="000000"/>
        </w:rPr>
      </w:pPr>
      <w:r>
        <w:rPr>
          <w:rFonts w:ascii="Times New Roman" w:eastAsia="Times New Roman" w:hAnsi="Times New Roman" w:cs="Times New Roman"/>
          <w:color w:val="000000"/>
        </w:rPr>
        <w:t>Claridad y coherencia argumentativa.</w:t>
      </w:r>
    </w:p>
    <w:p w14:paraId="125C1824" w14:textId="77777777" w:rsidR="00243289" w:rsidRDefault="00000000">
      <w:pPr>
        <w:numPr>
          <w:ilvl w:val="0"/>
          <w:numId w:val="2"/>
        </w:numPr>
        <w:jc w:val="both"/>
        <w:rPr>
          <w:rFonts w:ascii="Times New Roman" w:eastAsia="Times New Roman" w:hAnsi="Times New Roman" w:cs="Times New Roman"/>
          <w:color w:val="000000"/>
        </w:rPr>
      </w:pPr>
      <w:r>
        <w:rPr>
          <w:rFonts w:ascii="Times New Roman" w:eastAsia="Times New Roman" w:hAnsi="Times New Roman" w:cs="Times New Roman"/>
          <w:color w:val="000000"/>
        </w:rPr>
        <w:t>Rigor jurídico y manejo de fuentes.</w:t>
      </w:r>
    </w:p>
    <w:p w14:paraId="7216CF5A" w14:textId="77777777" w:rsidR="00243289" w:rsidRDefault="00000000">
      <w:pPr>
        <w:numPr>
          <w:ilvl w:val="0"/>
          <w:numId w:val="2"/>
        </w:numPr>
        <w:spacing w:after="280"/>
        <w:jc w:val="both"/>
        <w:rPr>
          <w:rFonts w:ascii="Times New Roman" w:eastAsia="Times New Roman" w:hAnsi="Times New Roman" w:cs="Times New Roman"/>
          <w:color w:val="000000"/>
        </w:rPr>
      </w:pPr>
      <w:r>
        <w:rPr>
          <w:rFonts w:ascii="Times New Roman" w:eastAsia="Times New Roman" w:hAnsi="Times New Roman" w:cs="Times New Roman"/>
          <w:color w:val="000000"/>
        </w:rPr>
        <w:t>Redacción y ortografía adecuada.</w:t>
      </w:r>
    </w:p>
    <w:p w14:paraId="701DAB53" w14:textId="77777777" w:rsidR="00243289" w:rsidRDefault="00000000">
      <w:pPr>
        <w:spacing w:before="280" w:after="280"/>
        <w:jc w:val="both"/>
        <w:rPr>
          <w:rFonts w:ascii="-webkit-standard" w:eastAsia="-webkit-standard" w:hAnsi="-webkit-standard" w:cs="-webkit-standard"/>
          <w:color w:val="000000"/>
          <w:sz w:val="27"/>
          <w:szCs w:val="27"/>
        </w:rPr>
      </w:pPr>
      <w:r>
        <w:rPr>
          <w:rFonts w:ascii="Times New Roman" w:eastAsia="Times New Roman" w:hAnsi="Times New Roman" w:cs="Times New Roman"/>
          <w:b/>
          <w:bCs/>
          <w:color w:val="000000"/>
        </w:rPr>
        <w:t xml:space="preserve">6. </w:t>
      </w:r>
      <w:r>
        <w:rPr>
          <w:rFonts w:ascii="Times New Roman" w:eastAsia="Times New Roman" w:hAnsi="Times New Roman" w:cs="Times New Roman"/>
          <w:color w:val="000000"/>
        </w:rPr>
        <w:t>El Comité Editorial seleccionará (1) un artículo para ser publicado en la edición 2026 del Anuario de Derecho Público.</w:t>
      </w:r>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La dirección del concurso, previo informe de la comisión evaluadora, se reserva el derecho de declarar desierto uno o más premios, cuando los trabajos presentados no cumplan con los estándares de calidad, originalidad o rigor exigidos por estas bases.</w:t>
      </w:r>
    </w:p>
    <w:p w14:paraId="3D42841E" w14:textId="77777777" w:rsidR="00243289" w:rsidRDefault="00000000">
      <w:pPr>
        <w:spacing w:before="280" w:after="280"/>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7. </w:t>
      </w:r>
      <w:r>
        <w:rPr>
          <w:rFonts w:ascii="Times New Roman" w:eastAsia="Times New Roman" w:hAnsi="Times New Roman" w:cs="Times New Roman"/>
          <w:color w:val="000000"/>
        </w:rPr>
        <w:t xml:space="preserve">El plazo para la recepción de los ensayos vencerá el día </w:t>
      </w:r>
      <w:r>
        <w:rPr>
          <w:rFonts w:ascii="Times New Roman" w:eastAsia="Times New Roman" w:hAnsi="Times New Roman" w:cs="Times New Roman"/>
          <w:b/>
          <w:bCs/>
          <w:color w:val="000000"/>
        </w:rPr>
        <w:t>1 de agosto de 2026</w:t>
      </w:r>
      <w:r>
        <w:rPr>
          <w:rFonts w:ascii="Times New Roman" w:eastAsia="Times New Roman" w:hAnsi="Times New Roman" w:cs="Times New Roman"/>
          <w:color w:val="000000"/>
        </w:rPr>
        <w:t xml:space="preserve">. Los resultados serán comunicados el día </w:t>
      </w:r>
      <w:r>
        <w:rPr>
          <w:rFonts w:ascii="Times New Roman" w:eastAsia="Times New Roman" w:hAnsi="Times New Roman" w:cs="Times New Roman"/>
          <w:b/>
          <w:bCs/>
          <w:color w:val="000000"/>
        </w:rPr>
        <w:t>1 de octubre de 2026</w:t>
      </w:r>
      <w:r>
        <w:rPr>
          <w:rFonts w:ascii="Times New Roman" w:eastAsia="Times New Roman" w:hAnsi="Times New Roman" w:cs="Times New Roman"/>
          <w:color w:val="000000"/>
        </w:rPr>
        <w:t>.</w:t>
      </w:r>
    </w:p>
    <w:p w14:paraId="3BD33B34" w14:textId="77777777" w:rsidR="00243289" w:rsidRDefault="00000000">
      <w:pPr>
        <w:spacing w:before="280" w:after="280"/>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8. </w:t>
      </w:r>
      <w:r>
        <w:rPr>
          <w:rFonts w:ascii="Times New Roman" w:eastAsia="Times New Roman" w:hAnsi="Times New Roman" w:cs="Times New Roman"/>
          <w:color w:val="000000"/>
        </w:rPr>
        <w:t>La participación en el concurso implica la aceptación íntegra de las presentes bases.</w:t>
      </w:r>
    </w:p>
    <w:p w14:paraId="31931E98" w14:textId="77777777" w:rsidR="00243289" w:rsidRDefault="00000000">
      <w:pPr>
        <w:jc w:val="both"/>
        <w:rPr>
          <w:rFonts w:ascii="Times New Roman" w:eastAsia="Times New Roman" w:hAnsi="Times New Roman" w:cs="Times New Roman"/>
        </w:rPr>
      </w:pPr>
      <w:r>
        <w:rPr>
          <w:noProof/>
        </w:rPr>
        <mc:AlternateContent>
          <mc:Choice Requires="wps">
            <w:drawing>
              <wp:inline distT="0" distB="0" distL="114300" distR="114300" wp14:anchorId="45D1CFCE" wp14:editId="1D1DDCC4">
                <wp:extent cx="1270" cy="12700"/>
                <wp:effectExtent l="0" t="0" r="0" b="0"/>
                <wp:docPr id="1" name="Rectángulo 1"/>
                <wp:cNvGraphicFramePr/>
                <a:graphic xmlns:a="http://schemas.openxmlformats.org/drawingml/2006/main">
                  <a:graphicData uri="http://schemas.microsoft.com/office/word/2010/wordprocessingShape">
                    <wps:wsp>
                      <wps:cNvSpPr/>
                      <wps:spPr>
                        <a:xfrm>
                          <a:off x="2539935" y="3779365"/>
                          <a:ext cx="5612130" cy="1270"/>
                        </a:xfrm>
                        <a:prstGeom prst="rect">
                          <a:avLst/>
                        </a:prstGeom>
                        <a:noFill/>
                        <a:ln w="12700" cap="flat" cmpd="sng">
                          <a:solidFill>
                            <a:srgbClr val="000000"/>
                          </a:solidFill>
                          <a:prstDash val="solid"/>
                          <a:round/>
                          <a:headEnd type="none" w="sm" len="sm"/>
                          <a:tailEnd type="none" w="sm" len="sm"/>
                        </a:ln>
                      </wps:spPr>
                      <wps:txbx>
                        <w:txbxContent>
                          <w:p w14:paraId="1326A5A2" w14:textId="77777777" w:rsidR="00243289" w:rsidRDefault="00243289">
                            <w:pP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1270" cy="12700"/>
                <wp:effectExtent b="0" l="0" r="0" t="0"/>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1270" cy="12700"/>
                        </a:xfrm>
                        <a:prstGeom prst="rect"/>
                        <a:ln/>
                      </pic:spPr>
                    </pic:pic>
                  </a:graphicData>
                </a:graphic>
              </wp:inline>
            </w:drawing>
          </mc:Fallback>
        </mc:AlternateContent>
      </w:r>
    </w:p>
    <w:p w14:paraId="74098BDA" w14:textId="77777777" w:rsidR="00243289" w:rsidRDefault="00000000">
      <w:pPr>
        <w:spacing w:before="280" w:after="2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Para mayor información, los interesados pueden contactar a Tamara Carrera o Reynaldo Lam a los correos electrónicos: </w:t>
      </w:r>
      <w:hyperlink r:id="rId9">
        <w:r>
          <w:rPr>
            <w:rFonts w:ascii="Times New Roman" w:eastAsia="Times New Roman" w:hAnsi="Times New Roman" w:cs="Times New Roman"/>
            <w:color w:val="467886"/>
            <w:u w:val="single"/>
          </w:rPr>
          <w:t>tamara.carrera@mail.udp.cl</w:t>
        </w:r>
      </w:hyperlink>
      <w:r>
        <w:rPr>
          <w:rFonts w:ascii="Times New Roman" w:eastAsia="Times New Roman" w:hAnsi="Times New Roman" w:cs="Times New Roman"/>
          <w:color w:val="000000"/>
        </w:rPr>
        <w:t xml:space="preserve"> o </w:t>
      </w:r>
      <w:hyperlink r:id="rId10">
        <w:r>
          <w:rPr>
            <w:rFonts w:ascii="Times New Roman" w:eastAsia="Times New Roman" w:hAnsi="Times New Roman" w:cs="Times New Roman"/>
            <w:color w:val="467886"/>
            <w:u w:val="single"/>
          </w:rPr>
          <w:t>reynaldo.lam@mail.udp.cl</w:t>
        </w:r>
      </w:hyperlink>
      <w:r>
        <w:rPr>
          <w:rFonts w:ascii="Times New Roman" w:eastAsia="Times New Roman" w:hAnsi="Times New Roman" w:cs="Times New Roman"/>
          <w:color w:val="000000"/>
        </w:rPr>
        <w:t xml:space="preserve"> </w:t>
      </w:r>
    </w:p>
    <w:p w14:paraId="2D4713D8" w14:textId="77777777" w:rsidR="00243289" w:rsidRDefault="00243289">
      <w:pPr>
        <w:jc w:val="both"/>
        <w:rPr>
          <w:rFonts w:ascii="Times New Roman" w:eastAsia="Times New Roman" w:hAnsi="Times New Roman" w:cs="Times New Roman"/>
          <w:b/>
          <w:bCs/>
          <w:color w:val="000000"/>
        </w:rPr>
      </w:pPr>
    </w:p>
    <w:p w14:paraId="1AD123A8" w14:textId="77777777" w:rsidR="00243289" w:rsidRDefault="00243289">
      <w:pPr>
        <w:jc w:val="both"/>
        <w:rPr>
          <w:rFonts w:ascii="Times New Roman" w:eastAsia="Times New Roman" w:hAnsi="Times New Roman" w:cs="Times New Roman"/>
          <w:b/>
          <w:bCs/>
          <w:color w:val="000000"/>
        </w:rPr>
      </w:pPr>
    </w:p>
    <w:p w14:paraId="6451A3DE" w14:textId="77777777" w:rsidR="00243289" w:rsidRDefault="00000000">
      <w:pP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Equipo Editorial, </w:t>
      </w:r>
    </w:p>
    <w:p w14:paraId="2B087290" w14:textId="77777777" w:rsidR="00243289" w:rsidRDefault="00000000">
      <w:pPr>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Anuario de Derecho Público UDP</w:t>
      </w:r>
    </w:p>
    <w:p w14:paraId="7E1FBBE6" w14:textId="77777777" w:rsidR="00243289" w:rsidRDefault="00000000">
      <w:pPr>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Santiago de Chile, 1 de abril de 2026</w:t>
      </w:r>
    </w:p>
    <w:p w14:paraId="22787299" w14:textId="77777777" w:rsidR="00243289" w:rsidRDefault="00243289">
      <w:pPr>
        <w:jc w:val="both"/>
        <w:rPr>
          <w:rFonts w:ascii="Times New Roman" w:eastAsia="Times New Roman" w:hAnsi="Times New Roman" w:cs="Times New Roman"/>
        </w:rPr>
      </w:pPr>
    </w:p>
    <w:p w14:paraId="01D11DCB" w14:textId="77777777" w:rsidR="00243289" w:rsidRDefault="00243289">
      <w:pPr>
        <w:jc w:val="both"/>
        <w:rPr>
          <w:rFonts w:ascii="Times New Roman" w:eastAsia="Times New Roman" w:hAnsi="Times New Roman" w:cs="Times New Roman"/>
        </w:rPr>
      </w:pPr>
    </w:p>
    <w:p w14:paraId="4E70AFCA" w14:textId="77777777" w:rsidR="00243289" w:rsidRDefault="00243289">
      <w:pPr>
        <w:jc w:val="both"/>
        <w:rPr>
          <w:rFonts w:ascii="Times New Roman" w:eastAsia="Times New Roman" w:hAnsi="Times New Roman" w:cs="Times New Roman"/>
        </w:rPr>
      </w:pPr>
    </w:p>
    <w:p w14:paraId="5414B752" w14:textId="77777777" w:rsidR="00243289" w:rsidRDefault="00243289">
      <w:pPr>
        <w:jc w:val="both"/>
        <w:rPr>
          <w:rFonts w:ascii="Times New Roman" w:eastAsia="Times New Roman" w:hAnsi="Times New Roman" w:cs="Times New Roman"/>
        </w:rPr>
      </w:pPr>
    </w:p>
    <w:p w14:paraId="39C99497" w14:textId="77777777" w:rsidR="00243289" w:rsidRDefault="00243289">
      <w:pPr>
        <w:jc w:val="both"/>
        <w:rPr>
          <w:rFonts w:ascii="Times New Roman" w:eastAsia="Times New Roman" w:hAnsi="Times New Roman" w:cs="Times New Roman"/>
        </w:rPr>
      </w:pPr>
    </w:p>
    <w:p w14:paraId="0556297E" w14:textId="77777777" w:rsidR="00243289" w:rsidRDefault="00243289">
      <w:pPr>
        <w:jc w:val="both"/>
        <w:rPr>
          <w:rFonts w:ascii="Times New Roman" w:eastAsia="Times New Roman" w:hAnsi="Times New Roman" w:cs="Times New Roman"/>
        </w:rPr>
      </w:pPr>
    </w:p>
    <w:p w14:paraId="558288EF" w14:textId="77777777" w:rsidR="00243289" w:rsidRDefault="00243289">
      <w:pPr>
        <w:jc w:val="both"/>
        <w:rPr>
          <w:rFonts w:ascii="Times New Roman" w:eastAsia="Times New Roman" w:hAnsi="Times New Roman" w:cs="Times New Roman"/>
        </w:rPr>
      </w:pPr>
    </w:p>
    <w:p w14:paraId="0BCC2194" w14:textId="77777777" w:rsidR="00243289" w:rsidRDefault="00243289">
      <w:pPr>
        <w:jc w:val="both"/>
        <w:rPr>
          <w:rFonts w:ascii="Times New Roman" w:eastAsia="Times New Roman" w:hAnsi="Times New Roman" w:cs="Times New Roman"/>
        </w:rPr>
      </w:pPr>
    </w:p>
    <w:p w14:paraId="3130DBB2" w14:textId="77777777" w:rsidR="00243289" w:rsidRDefault="00243289">
      <w:pPr>
        <w:jc w:val="both"/>
        <w:rPr>
          <w:rFonts w:ascii="Times New Roman" w:eastAsia="Times New Roman" w:hAnsi="Times New Roman" w:cs="Times New Roman"/>
        </w:rPr>
      </w:pPr>
    </w:p>
    <w:p w14:paraId="3A690698" w14:textId="77777777" w:rsidR="00243289" w:rsidRDefault="00243289">
      <w:pPr>
        <w:jc w:val="both"/>
        <w:rPr>
          <w:rFonts w:ascii="Times New Roman" w:eastAsia="Times New Roman" w:hAnsi="Times New Roman" w:cs="Times New Roman"/>
        </w:rPr>
      </w:pPr>
    </w:p>
    <w:p w14:paraId="6A2EC145" w14:textId="77777777" w:rsidR="00243289" w:rsidRDefault="00243289">
      <w:pPr>
        <w:jc w:val="both"/>
        <w:rPr>
          <w:rFonts w:ascii="Times New Roman" w:eastAsia="Times New Roman" w:hAnsi="Times New Roman" w:cs="Times New Roman"/>
        </w:rPr>
      </w:pPr>
    </w:p>
    <w:p w14:paraId="1EB95BEB" w14:textId="77777777" w:rsidR="00243289" w:rsidRDefault="00243289">
      <w:pPr>
        <w:jc w:val="both"/>
        <w:rPr>
          <w:rFonts w:ascii="Times New Roman" w:eastAsia="Times New Roman" w:hAnsi="Times New Roman" w:cs="Times New Roman"/>
        </w:rPr>
      </w:pPr>
    </w:p>
    <w:p w14:paraId="480816C5" w14:textId="77777777" w:rsidR="00243289" w:rsidRDefault="00243289">
      <w:pPr>
        <w:jc w:val="both"/>
        <w:rPr>
          <w:rFonts w:ascii="Times New Roman" w:eastAsia="Times New Roman" w:hAnsi="Times New Roman" w:cs="Times New Roman"/>
        </w:rPr>
      </w:pPr>
    </w:p>
    <w:p w14:paraId="795E5995" w14:textId="77777777" w:rsidR="00243289" w:rsidRDefault="00243289">
      <w:pPr>
        <w:jc w:val="both"/>
        <w:rPr>
          <w:rFonts w:ascii="Times New Roman" w:eastAsia="Times New Roman" w:hAnsi="Times New Roman" w:cs="Times New Roman"/>
        </w:rPr>
      </w:pPr>
    </w:p>
    <w:p w14:paraId="339F970D" w14:textId="77777777" w:rsidR="00243289" w:rsidRDefault="00243289">
      <w:pPr>
        <w:jc w:val="both"/>
        <w:rPr>
          <w:rFonts w:ascii="Times New Roman" w:eastAsia="Times New Roman" w:hAnsi="Times New Roman" w:cs="Times New Roman"/>
        </w:rPr>
      </w:pPr>
    </w:p>
    <w:p w14:paraId="0C72932F" w14:textId="77777777" w:rsidR="00243289" w:rsidRDefault="00243289">
      <w:pPr>
        <w:jc w:val="both"/>
        <w:rPr>
          <w:rFonts w:ascii="Times New Roman" w:eastAsia="Times New Roman" w:hAnsi="Times New Roman" w:cs="Times New Roman"/>
        </w:rPr>
      </w:pPr>
    </w:p>
    <w:p w14:paraId="2285342A" w14:textId="77777777" w:rsidR="00243289"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ANEXO</w:t>
      </w:r>
    </w:p>
    <w:p w14:paraId="6B2EEAAC" w14:textId="77777777" w:rsidR="00243289"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NORMAS EDITORIALES</w:t>
      </w:r>
    </w:p>
    <w:p w14:paraId="01EDCA44" w14:textId="77777777" w:rsidR="00243289" w:rsidRDefault="00243289">
      <w:pPr>
        <w:jc w:val="center"/>
        <w:rPr>
          <w:rFonts w:ascii="Times New Roman" w:eastAsia="Times New Roman" w:hAnsi="Times New Roman" w:cs="Times New Roman"/>
          <w:b/>
          <w:bCs/>
        </w:rPr>
      </w:pPr>
    </w:p>
    <w:p w14:paraId="1A7536E5" w14:textId="77777777" w:rsidR="00243289" w:rsidRDefault="00243289">
      <w:pPr>
        <w:jc w:val="center"/>
        <w:rPr>
          <w:rFonts w:ascii="Times New Roman" w:eastAsia="Times New Roman" w:hAnsi="Times New Roman" w:cs="Times New Roman"/>
          <w:b/>
          <w:bCs/>
        </w:rPr>
      </w:pPr>
    </w:p>
    <w:p w14:paraId="1DC7BEC5" w14:textId="77777777" w:rsidR="00243289"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Cuestiones formales</w:t>
      </w:r>
    </w:p>
    <w:p w14:paraId="12EE524D" w14:textId="77777777" w:rsidR="00243289" w:rsidRDefault="00000000">
      <w:pPr>
        <w:numPr>
          <w:ilvl w:val="0"/>
          <w:numId w:val="3"/>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Los artículos deben ser remitidos con interlineado sencillo, sin espacio entre párrafo y párrafo (o sea, después de punto aparte), con notas a pie de página, todo en tipografía Times New </w:t>
      </w:r>
      <w:proofErr w:type="spellStart"/>
      <w:r>
        <w:rPr>
          <w:rFonts w:ascii="Times New Roman" w:eastAsia="Times New Roman" w:hAnsi="Times New Roman" w:cs="Times New Roman"/>
          <w:color w:val="000000"/>
        </w:rPr>
        <w:t>Roman</w:t>
      </w:r>
      <w:proofErr w:type="spellEnd"/>
      <w:r>
        <w:rPr>
          <w:rFonts w:ascii="Times New Roman" w:eastAsia="Times New Roman" w:hAnsi="Times New Roman" w:cs="Times New Roman"/>
          <w:color w:val="000000"/>
        </w:rPr>
        <w:t>, tamaño 12 para el texto y 10 para las notas, en hoja tamaño carta. </w:t>
      </w:r>
    </w:p>
    <w:p w14:paraId="5BD8196E" w14:textId="77777777" w:rsidR="00243289" w:rsidRDefault="00243289">
      <w:pPr>
        <w:pBdr>
          <w:top w:val="nil"/>
          <w:left w:val="nil"/>
          <w:bottom w:val="nil"/>
          <w:right w:val="nil"/>
          <w:between w:val="nil"/>
        </w:pBdr>
        <w:ind w:left="360"/>
        <w:jc w:val="both"/>
        <w:rPr>
          <w:rFonts w:ascii="Times New Roman" w:eastAsia="Times New Roman" w:hAnsi="Times New Roman" w:cs="Times New Roman"/>
          <w:color w:val="000000"/>
        </w:rPr>
      </w:pPr>
    </w:p>
    <w:p w14:paraId="0C54796A" w14:textId="77777777" w:rsidR="00243289" w:rsidRDefault="00000000">
      <w:pPr>
        <w:numPr>
          <w:ilvl w:val="0"/>
          <w:numId w:val="3"/>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Los artículos deben tener una extensión máxima de 15 páginas y estarán escritos en un lenguaje llano y dirigido a un público culto, pero no especializado. Por lo mismo, estarán escritos sin demasiadas notas. </w:t>
      </w:r>
    </w:p>
    <w:p w14:paraId="1FC292EE" w14:textId="77777777" w:rsidR="00243289" w:rsidRDefault="00243289">
      <w:pPr>
        <w:pBdr>
          <w:top w:val="nil"/>
          <w:left w:val="nil"/>
          <w:bottom w:val="nil"/>
          <w:right w:val="nil"/>
          <w:between w:val="nil"/>
        </w:pBdr>
        <w:jc w:val="both"/>
        <w:rPr>
          <w:rFonts w:ascii="Times New Roman" w:eastAsia="Times New Roman" w:hAnsi="Times New Roman" w:cs="Times New Roman"/>
          <w:color w:val="000000"/>
        </w:rPr>
      </w:pPr>
    </w:p>
    <w:p w14:paraId="068B6984" w14:textId="77777777" w:rsidR="00243289" w:rsidRDefault="00000000">
      <w:pPr>
        <w:numPr>
          <w:ilvl w:val="0"/>
          <w:numId w:val="3"/>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Los artículos deben ir antecedidos de una síntesis en español de no más de 15 líneas y sin bibliografía al final.</w:t>
      </w:r>
    </w:p>
    <w:p w14:paraId="2D5B9125" w14:textId="77777777" w:rsidR="00243289" w:rsidRDefault="00243289">
      <w:pPr>
        <w:pBdr>
          <w:top w:val="nil"/>
          <w:left w:val="nil"/>
          <w:bottom w:val="nil"/>
          <w:right w:val="nil"/>
          <w:between w:val="nil"/>
        </w:pBdr>
        <w:ind w:left="720"/>
        <w:rPr>
          <w:color w:val="000000"/>
        </w:rPr>
      </w:pPr>
    </w:p>
    <w:p w14:paraId="2CDC0804" w14:textId="77777777" w:rsidR="00243289" w:rsidRDefault="00000000">
      <w:pPr>
        <w:numPr>
          <w:ilvl w:val="0"/>
          <w:numId w:val="3"/>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Los artículos indicarán, bajo su título, el nombre del autor o de la autora. En el primer llamado a pie de página se deberá señalar el máximo grado académico que detente con indicación de la institución otorgante, la universidad, centro de investigación o institución a la cual pertenezca, la dirección postal, su correo electrónico institucional y número de ORCID.</w:t>
      </w:r>
    </w:p>
    <w:p w14:paraId="102C578D" w14:textId="77777777" w:rsidR="00243289" w:rsidRDefault="00243289">
      <w:pPr>
        <w:pBdr>
          <w:top w:val="nil"/>
          <w:left w:val="nil"/>
          <w:bottom w:val="nil"/>
          <w:right w:val="nil"/>
          <w:between w:val="nil"/>
        </w:pBdr>
        <w:ind w:left="720"/>
        <w:rPr>
          <w:color w:val="000000"/>
        </w:rPr>
      </w:pPr>
    </w:p>
    <w:p w14:paraId="10276463" w14:textId="77777777" w:rsidR="00243289" w:rsidRDefault="00000000">
      <w:pPr>
        <w:numPr>
          <w:ilvl w:val="0"/>
          <w:numId w:val="3"/>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El cuerpo de los trabajos se dividirá en secciones numeradas con romanos.</w:t>
      </w:r>
      <w:r>
        <w:rPr>
          <w:rFonts w:ascii="Times New Roman" w:eastAsia="Times New Roman" w:hAnsi="Times New Roman" w:cs="Times New Roman"/>
          <w:color w:val="333333"/>
        </w:rPr>
        <w:t xml:space="preserve"> </w:t>
      </w:r>
      <w:r>
        <w:rPr>
          <w:rFonts w:ascii="Times New Roman" w:eastAsia="Times New Roman" w:hAnsi="Times New Roman" w:cs="Times New Roman"/>
          <w:color w:val="333333"/>
        </w:rPr>
        <w:br/>
      </w:r>
      <w:r>
        <w:rPr>
          <w:rFonts w:ascii="Times New Roman" w:eastAsia="Times New Roman" w:hAnsi="Times New Roman" w:cs="Times New Roman"/>
          <w:color w:val="000000"/>
        </w:rPr>
        <w:t>Cada párrafo podrá ser nuevamente subdividido en parágrafos señalados con números arábigos, seguidos de un punto (1.). Cuando se apliquen nuevas subdivisiones en el interior de los parágrafos, cada una de ellas será señalada con letras con paréntesis final [a), b), c), etcétera].</w:t>
      </w:r>
    </w:p>
    <w:p w14:paraId="5242EB3A" w14:textId="77777777" w:rsidR="00243289" w:rsidRDefault="00243289">
      <w:pPr>
        <w:jc w:val="both"/>
        <w:rPr>
          <w:rFonts w:ascii="Times New Roman" w:eastAsia="Times New Roman" w:hAnsi="Times New Roman" w:cs="Times New Roman"/>
          <w:color w:val="000000"/>
        </w:rPr>
      </w:pPr>
    </w:p>
    <w:p w14:paraId="6C46F1ED" w14:textId="77777777" w:rsidR="00243289"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Sistema de citas</w:t>
      </w:r>
    </w:p>
    <w:p w14:paraId="78BBF37A" w14:textId="77777777" w:rsidR="00243289" w:rsidRDefault="00000000">
      <w:pPr>
        <w:numPr>
          <w:ilvl w:val="0"/>
          <w:numId w:val="4"/>
        </w:numPr>
        <w:pBdr>
          <w:top w:val="nil"/>
          <w:left w:val="nil"/>
          <w:bottom w:val="nil"/>
          <w:right w:val="nil"/>
          <w:between w:val="nil"/>
        </w:pBdr>
        <w:spacing w:before="200" w:after="20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Las referencias bibliográficas, de normas y jurisprudencia se harán conforme a las siguientes reglas. Supletoriamente se aplicarán las reglas utilizadas por la Revista Chilena de Derecho Privado Fernando </w:t>
      </w:r>
      <w:proofErr w:type="spellStart"/>
      <w:r>
        <w:rPr>
          <w:rFonts w:ascii="Times New Roman" w:eastAsia="Times New Roman" w:hAnsi="Times New Roman" w:cs="Times New Roman"/>
          <w:color w:val="000000"/>
        </w:rPr>
        <w:t>Fueyo</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Laneri</w:t>
      </w:r>
      <w:proofErr w:type="spellEnd"/>
      <w:r>
        <w:rPr>
          <w:rFonts w:ascii="Times New Roman" w:eastAsia="Times New Roman" w:hAnsi="Times New Roman" w:cs="Times New Roman"/>
          <w:color w:val="000000"/>
        </w:rPr>
        <w:t xml:space="preserve"> (</w:t>
      </w:r>
      <w:proofErr w:type="spellStart"/>
      <w:r>
        <w:fldChar w:fldCharType="begin"/>
      </w:r>
      <w:r>
        <w:instrText>HYPERLINK "https://rchdp.udp.cl/index.php/rchdp/about/submissions" \l "authorGuidelines" \h</w:instrText>
      </w:r>
      <w:r>
        <w:fldChar w:fldCharType="separate"/>
      </w:r>
      <w:r>
        <w:rPr>
          <w:rFonts w:ascii="Times New Roman" w:eastAsia="Times New Roman" w:hAnsi="Times New Roman" w:cs="Times New Roman"/>
          <w:color w:val="1155CC"/>
          <w:u w:val="single"/>
        </w:rPr>
        <w:t>RChDP</w:t>
      </w:r>
      <w:proofErr w:type="spellEnd"/>
      <w:r>
        <w:fldChar w:fldCharType="end"/>
      </w:r>
      <w:r>
        <w:rPr>
          <w:rFonts w:ascii="Times New Roman" w:eastAsia="Times New Roman" w:hAnsi="Times New Roman" w:cs="Times New Roman"/>
          <w:color w:val="000000"/>
        </w:rPr>
        <w:t xml:space="preserve">). </w:t>
      </w:r>
    </w:p>
    <w:p w14:paraId="5D787C31" w14:textId="77777777" w:rsidR="00243289" w:rsidRDefault="00000000">
      <w:pPr>
        <w:numPr>
          <w:ilvl w:val="0"/>
          <w:numId w:val="4"/>
        </w:numPr>
        <w:pBdr>
          <w:top w:val="nil"/>
          <w:left w:val="nil"/>
          <w:bottom w:val="nil"/>
          <w:right w:val="nil"/>
          <w:between w:val="nil"/>
        </w:pBdr>
        <w:spacing w:before="200" w:after="200"/>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Bibliografía citada. </w:t>
      </w:r>
      <w:r>
        <w:rPr>
          <w:rFonts w:ascii="Times New Roman" w:eastAsia="Times New Roman" w:hAnsi="Times New Roman" w:cs="Times New Roman"/>
          <w:color w:val="000000"/>
        </w:rPr>
        <w:t xml:space="preserve">Las referencias completas de la bibliografía citada se incluirán al final del trabajo, bajo el título “Bibliografía citada”. Se deberán incluir todas las referencias a libros, capítulos de libros, artículos de revistas o publicaciones en formato electrónico, y se ordenará alfabéticamente según el primer apellido del autor o de la autora en versales o versalitas. </w:t>
      </w:r>
    </w:p>
    <w:p w14:paraId="72413ACA" w14:textId="77777777" w:rsidR="00243289" w:rsidRDefault="00000000">
      <w:pPr>
        <w:numPr>
          <w:ilvl w:val="0"/>
          <w:numId w:val="4"/>
        </w:numPr>
        <w:pBdr>
          <w:top w:val="nil"/>
          <w:left w:val="nil"/>
          <w:bottom w:val="nil"/>
          <w:right w:val="nil"/>
          <w:between w:val="nil"/>
        </w:pBdr>
        <w:spacing w:before="200" w:after="20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Ejemplos de referencia completa: </w:t>
      </w:r>
    </w:p>
    <w:p w14:paraId="4B79532A" w14:textId="77777777" w:rsidR="00243289" w:rsidRDefault="00000000">
      <w:pPr>
        <w:numPr>
          <w:ilvl w:val="1"/>
          <w:numId w:val="4"/>
        </w:numPr>
        <w:pBdr>
          <w:top w:val="nil"/>
          <w:left w:val="nil"/>
          <w:bottom w:val="nil"/>
          <w:right w:val="nil"/>
          <w:between w:val="nil"/>
        </w:pBdr>
        <w:spacing w:before="200" w:after="200"/>
        <w:jc w:val="both"/>
        <w:rPr>
          <w:rFonts w:ascii="Times New Roman" w:eastAsia="Times New Roman" w:hAnsi="Times New Roman" w:cs="Times New Roman"/>
          <w:color w:val="000000"/>
        </w:rPr>
      </w:pPr>
      <w:r>
        <w:rPr>
          <w:rFonts w:ascii="Times New Roman" w:eastAsia="Times New Roman" w:hAnsi="Times New Roman" w:cs="Times New Roman"/>
          <w:color w:val="000000"/>
        </w:rPr>
        <w:t>Libro con un autor o autora: FERRANDO, María de Lourdes (1999). La información de las entidades de crédito. Estudio especial de los informes comerciales bancarios. (edición si corresponde, a partir de la 2ª). Valencia: Tirant lo Blanch.</w:t>
      </w:r>
    </w:p>
    <w:p w14:paraId="08784ECC" w14:textId="77777777" w:rsidR="00243289" w:rsidRDefault="00000000">
      <w:pPr>
        <w:numPr>
          <w:ilvl w:val="1"/>
          <w:numId w:val="4"/>
        </w:numPr>
        <w:pBdr>
          <w:top w:val="nil"/>
          <w:left w:val="nil"/>
          <w:bottom w:val="nil"/>
          <w:right w:val="nil"/>
          <w:between w:val="nil"/>
        </w:pBdr>
        <w:spacing w:before="200" w:after="200"/>
        <w:jc w:val="both"/>
        <w:rPr>
          <w:rFonts w:ascii="Times New Roman" w:eastAsia="Times New Roman" w:hAnsi="Times New Roman" w:cs="Times New Roman"/>
          <w:color w:val="000000"/>
        </w:rPr>
      </w:pPr>
      <w:r>
        <w:rPr>
          <w:rFonts w:ascii="Times New Roman" w:eastAsia="Times New Roman" w:hAnsi="Times New Roman" w:cs="Times New Roman"/>
          <w:color w:val="333333"/>
        </w:rPr>
        <w:lastRenderedPageBreak/>
        <w:t xml:space="preserve"> Libro compuesto por tomo y/o volumen: ALESSANDRI RODRÍGUEZ, Arturo (2011). De la compraventa y de la promesa de venta. Santiago: Editorial Jurídica de Chile, tomo I, vol. 2.</w:t>
      </w:r>
    </w:p>
    <w:p w14:paraId="0A73A81A" w14:textId="77777777" w:rsidR="00243289" w:rsidRDefault="00000000">
      <w:pPr>
        <w:numPr>
          <w:ilvl w:val="1"/>
          <w:numId w:val="4"/>
        </w:numPr>
        <w:pBdr>
          <w:top w:val="nil"/>
          <w:left w:val="nil"/>
          <w:bottom w:val="nil"/>
          <w:right w:val="nil"/>
          <w:between w:val="nil"/>
        </w:pBdr>
        <w:spacing w:before="200" w:after="200"/>
        <w:jc w:val="both"/>
        <w:rPr>
          <w:rFonts w:ascii="Times New Roman" w:eastAsia="Times New Roman" w:hAnsi="Times New Roman" w:cs="Times New Roman"/>
          <w:color w:val="000000"/>
        </w:rPr>
      </w:pPr>
      <w:r>
        <w:rPr>
          <w:rFonts w:ascii="Times New Roman" w:eastAsia="Times New Roman" w:hAnsi="Times New Roman" w:cs="Times New Roman"/>
          <w:color w:val="333333"/>
        </w:rPr>
        <w:t xml:space="preserve"> Capítulo de libro o escritos reunidos: GUZMÁN BRITO, Alejandro (2008). “Las prendas ordinaria y sin desplazamiento de la ley N° 20.190, recaídas en cosa ajena”, en Fabricio MANTILLA y Carlos PIZARRO (</w:t>
      </w:r>
      <w:proofErr w:type="spellStart"/>
      <w:r>
        <w:rPr>
          <w:rFonts w:ascii="Times New Roman" w:eastAsia="Times New Roman" w:hAnsi="Times New Roman" w:cs="Times New Roman"/>
          <w:color w:val="333333"/>
        </w:rPr>
        <w:t>coords</w:t>
      </w:r>
      <w:proofErr w:type="spellEnd"/>
      <w:r>
        <w:rPr>
          <w:rFonts w:ascii="Times New Roman" w:eastAsia="Times New Roman" w:hAnsi="Times New Roman" w:cs="Times New Roman"/>
          <w:color w:val="333333"/>
        </w:rPr>
        <w:t xml:space="preserve">.). Estudios de Derecho Privado en homenaje al profesor Christian </w:t>
      </w:r>
      <w:proofErr w:type="spellStart"/>
      <w:r>
        <w:rPr>
          <w:rFonts w:ascii="Times New Roman" w:eastAsia="Times New Roman" w:hAnsi="Times New Roman" w:cs="Times New Roman"/>
          <w:color w:val="333333"/>
        </w:rPr>
        <w:t>Larroumet</w:t>
      </w:r>
      <w:proofErr w:type="spellEnd"/>
      <w:r>
        <w:rPr>
          <w:rFonts w:ascii="Times New Roman" w:eastAsia="Times New Roman" w:hAnsi="Times New Roman" w:cs="Times New Roman"/>
          <w:color w:val="333333"/>
        </w:rPr>
        <w:t xml:space="preserve">. Santiago: Ediciones de la Fundación Fernando </w:t>
      </w:r>
      <w:proofErr w:type="spellStart"/>
      <w:r>
        <w:rPr>
          <w:rFonts w:ascii="Times New Roman" w:eastAsia="Times New Roman" w:hAnsi="Times New Roman" w:cs="Times New Roman"/>
          <w:color w:val="333333"/>
        </w:rPr>
        <w:t>Fueyo</w:t>
      </w:r>
      <w:proofErr w:type="spellEnd"/>
      <w:r>
        <w:rPr>
          <w:rFonts w:ascii="Times New Roman" w:eastAsia="Times New Roman" w:hAnsi="Times New Roman" w:cs="Times New Roman"/>
          <w:color w:val="333333"/>
        </w:rPr>
        <w:t xml:space="preserve"> </w:t>
      </w:r>
      <w:proofErr w:type="spellStart"/>
      <w:r>
        <w:rPr>
          <w:rFonts w:ascii="Times New Roman" w:eastAsia="Times New Roman" w:hAnsi="Times New Roman" w:cs="Times New Roman"/>
          <w:color w:val="333333"/>
        </w:rPr>
        <w:t>Laneri</w:t>
      </w:r>
      <w:proofErr w:type="spellEnd"/>
      <w:r>
        <w:rPr>
          <w:rFonts w:ascii="Times New Roman" w:eastAsia="Times New Roman" w:hAnsi="Times New Roman" w:cs="Times New Roman"/>
          <w:color w:val="333333"/>
        </w:rPr>
        <w:t>.</w:t>
      </w:r>
    </w:p>
    <w:p w14:paraId="1204A592" w14:textId="77777777" w:rsidR="00243289" w:rsidRDefault="00000000">
      <w:pPr>
        <w:numPr>
          <w:ilvl w:val="1"/>
          <w:numId w:val="4"/>
        </w:numPr>
        <w:pBdr>
          <w:top w:val="nil"/>
          <w:left w:val="nil"/>
          <w:bottom w:val="nil"/>
          <w:right w:val="nil"/>
          <w:between w:val="nil"/>
        </w:pBdr>
        <w:spacing w:before="200" w:after="200"/>
        <w:jc w:val="both"/>
        <w:rPr>
          <w:rFonts w:ascii="Times New Roman" w:eastAsia="Times New Roman" w:hAnsi="Times New Roman" w:cs="Times New Roman"/>
          <w:color w:val="000000"/>
        </w:rPr>
      </w:pPr>
      <w:r>
        <w:rPr>
          <w:rFonts w:ascii="Times New Roman" w:eastAsia="Times New Roman" w:hAnsi="Times New Roman" w:cs="Times New Roman"/>
          <w:color w:val="333333"/>
        </w:rPr>
        <w:t xml:space="preserve"> Artículos de revista: REMY, Phillippe (2002). “</w:t>
      </w:r>
      <w:proofErr w:type="spellStart"/>
      <w:r>
        <w:rPr>
          <w:rFonts w:ascii="Times New Roman" w:eastAsia="Times New Roman" w:hAnsi="Times New Roman" w:cs="Times New Roman"/>
          <w:color w:val="333333"/>
        </w:rPr>
        <w:t>Planiol</w:t>
      </w:r>
      <w:proofErr w:type="spellEnd"/>
      <w:r>
        <w:rPr>
          <w:rFonts w:ascii="Times New Roman" w:eastAsia="Times New Roman" w:hAnsi="Times New Roman" w:cs="Times New Roman"/>
          <w:color w:val="333333"/>
        </w:rPr>
        <w:t xml:space="preserve">: un </w:t>
      </w:r>
      <w:proofErr w:type="spellStart"/>
      <w:r>
        <w:rPr>
          <w:rFonts w:ascii="Times New Roman" w:eastAsia="Times New Roman" w:hAnsi="Times New Roman" w:cs="Times New Roman"/>
          <w:color w:val="333333"/>
        </w:rPr>
        <w:t>civiliste</w:t>
      </w:r>
      <w:proofErr w:type="spellEnd"/>
      <w:r>
        <w:rPr>
          <w:rFonts w:ascii="Times New Roman" w:eastAsia="Times New Roman" w:hAnsi="Times New Roman" w:cs="Times New Roman"/>
          <w:color w:val="333333"/>
        </w:rPr>
        <w:t xml:space="preserve"> à la Belle </w:t>
      </w:r>
      <w:proofErr w:type="spellStart"/>
      <w:r>
        <w:rPr>
          <w:rFonts w:ascii="Times New Roman" w:eastAsia="Times New Roman" w:hAnsi="Times New Roman" w:cs="Times New Roman"/>
          <w:color w:val="333333"/>
        </w:rPr>
        <w:t>Epoque</w:t>
      </w:r>
      <w:proofErr w:type="spellEnd"/>
      <w:r>
        <w:rPr>
          <w:rFonts w:ascii="Times New Roman" w:eastAsia="Times New Roman" w:hAnsi="Times New Roman" w:cs="Times New Roman"/>
          <w:color w:val="333333"/>
        </w:rPr>
        <w:t xml:space="preserve">”. </w:t>
      </w:r>
      <w:proofErr w:type="spellStart"/>
      <w:r>
        <w:rPr>
          <w:rFonts w:ascii="Times New Roman" w:eastAsia="Times New Roman" w:hAnsi="Times New Roman" w:cs="Times New Roman"/>
          <w:color w:val="333333"/>
        </w:rPr>
        <w:t>Revue</w:t>
      </w:r>
      <w:proofErr w:type="spellEnd"/>
      <w:r>
        <w:rPr>
          <w:rFonts w:ascii="Times New Roman" w:eastAsia="Times New Roman" w:hAnsi="Times New Roman" w:cs="Times New Roman"/>
          <w:color w:val="333333"/>
        </w:rPr>
        <w:t xml:space="preserve"> </w:t>
      </w:r>
      <w:proofErr w:type="spellStart"/>
      <w:r>
        <w:rPr>
          <w:rFonts w:ascii="Times New Roman" w:eastAsia="Times New Roman" w:hAnsi="Times New Roman" w:cs="Times New Roman"/>
          <w:color w:val="333333"/>
        </w:rPr>
        <w:t>Trimestrielle</w:t>
      </w:r>
      <w:proofErr w:type="spellEnd"/>
      <w:r>
        <w:rPr>
          <w:rFonts w:ascii="Times New Roman" w:eastAsia="Times New Roman" w:hAnsi="Times New Roman" w:cs="Times New Roman"/>
          <w:color w:val="333333"/>
        </w:rPr>
        <w:t xml:space="preserve"> de </w:t>
      </w:r>
      <w:proofErr w:type="spellStart"/>
      <w:r>
        <w:rPr>
          <w:rFonts w:ascii="Times New Roman" w:eastAsia="Times New Roman" w:hAnsi="Times New Roman" w:cs="Times New Roman"/>
          <w:color w:val="333333"/>
        </w:rPr>
        <w:t>Droit</w:t>
      </w:r>
      <w:proofErr w:type="spellEnd"/>
      <w:r>
        <w:rPr>
          <w:rFonts w:ascii="Times New Roman" w:eastAsia="Times New Roman" w:hAnsi="Times New Roman" w:cs="Times New Roman"/>
          <w:color w:val="333333"/>
        </w:rPr>
        <w:t xml:space="preserve"> Civil, n.º 1. Paris: </w:t>
      </w:r>
      <w:proofErr w:type="spellStart"/>
      <w:r>
        <w:rPr>
          <w:rFonts w:ascii="Times New Roman" w:eastAsia="Times New Roman" w:hAnsi="Times New Roman" w:cs="Times New Roman"/>
          <w:color w:val="333333"/>
        </w:rPr>
        <w:t>janvier</w:t>
      </w:r>
      <w:proofErr w:type="spellEnd"/>
      <w:r>
        <w:rPr>
          <w:rFonts w:ascii="Times New Roman" w:eastAsia="Times New Roman" w:hAnsi="Times New Roman" w:cs="Times New Roman"/>
          <w:color w:val="333333"/>
        </w:rPr>
        <w:t xml:space="preserve"> </w:t>
      </w:r>
      <w:proofErr w:type="spellStart"/>
      <w:r>
        <w:rPr>
          <w:rFonts w:ascii="Times New Roman" w:eastAsia="Times New Roman" w:hAnsi="Times New Roman" w:cs="Times New Roman"/>
          <w:color w:val="333333"/>
        </w:rPr>
        <w:t>février</w:t>
      </w:r>
      <w:proofErr w:type="spellEnd"/>
      <w:r>
        <w:rPr>
          <w:rFonts w:ascii="Times New Roman" w:eastAsia="Times New Roman" w:hAnsi="Times New Roman" w:cs="Times New Roman"/>
          <w:color w:val="333333"/>
        </w:rPr>
        <w:t>.</w:t>
      </w:r>
    </w:p>
    <w:p w14:paraId="57508763" w14:textId="77777777" w:rsidR="00243289" w:rsidRDefault="00000000">
      <w:pPr>
        <w:numPr>
          <w:ilvl w:val="1"/>
          <w:numId w:val="4"/>
        </w:numPr>
        <w:pBdr>
          <w:top w:val="nil"/>
          <w:left w:val="nil"/>
          <w:bottom w:val="nil"/>
          <w:right w:val="nil"/>
          <w:between w:val="nil"/>
        </w:pBdr>
        <w:spacing w:before="200" w:after="200"/>
        <w:jc w:val="both"/>
        <w:rPr>
          <w:rFonts w:ascii="Times New Roman" w:eastAsia="Times New Roman" w:hAnsi="Times New Roman" w:cs="Times New Roman"/>
          <w:color w:val="000000"/>
        </w:rPr>
      </w:pPr>
      <w:r>
        <w:rPr>
          <w:rFonts w:ascii="Times New Roman" w:eastAsia="Times New Roman" w:hAnsi="Times New Roman" w:cs="Times New Roman"/>
          <w:color w:val="333333"/>
        </w:rPr>
        <w:t xml:space="preserve"> Trabajos (libros, capítulos de libro o textos en revistas) con dos autores:</w:t>
      </w:r>
      <w:r>
        <w:rPr>
          <w:rFonts w:ascii="Times New Roman" w:eastAsia="Times New Roman" w:hAnsi="Times New Roman" w:cs="Times New Roman"/>
          <w:color w:val="000000"/>
        </w:rPr>
        <w:t xml:space="preserve"> </w:t>
      </w:r>
    </w:p>
    <w:p w14:paraId="4766C764" w14:textId="77777777" w:rsidR="00243289" w:rsidRDefault="00000000">
      <w:pPr>
        <w:pBdr>
          <w:top w:val="nil"/>
          <w:left w:val="nil"/>
          <w:bottom w:val="nil"/>
          <w:right w:val="nil"/>
          <w:between w:val="nil"/>
        </w:pBdr>
        <w:spacing w:before="200" w:after="200"/>
        <w:ind w:left="785"/>
        <w:jc w:val="both"/>
        <w:rPr>
          <w:rFonts w:ascii="Times New Roman" w:eastAsia="Times New Roman" w:hAnsi="Times New Roman" w:cs="Times New Roman"/>
          <w:color w:val="000000"/>
        </w:rPr>
      </w:pPr>
      <w:r>
        <w:rPr>
          <w:rFonts w:ascii="Times New Roman" w:eastAsia="Times New Roman" w:hAnsi="Times New Roman" w:cs="Times New Roman"/>
          <w:color w:val="333333"/>
        </w:rPr>
        <w:t xml:space="preserve">LÓPEZ, Jorge y Fabián ELORRIAGA (2017). Los contratos. Parte general. 6ª edición actualizada. Santiago: Legal Publishing. </w:t>
      </w:r>
    </w:p>
    <w:p w14:paraId="4CFC2CC8" w14:textId="77777777" w:rsidR="00243289" w:rsidRDefault="00000000">
      <w:pPr>
        <w:pBdr>
          <w:top w:val="nil"/>
          <w:left w:val="nil"/>
          <w:bottom w:val="nil"/>
          <w:right w:val="nil"/>
          <w:between w:val="nil"/>
        </w:pBdr>
        <w:spacing w:before="200" w:after="200"/>
        <w:ind w:left="785"/>
        <w:jc w:val="both"/>
        <w:rPr>
          <w:rFonts w:ascii="Times New Roman" w:eastAsia="Times New Roman" w:hAnsi="Times New Roman" w:cs="Times New Roman"/>
          <w:color w:val="333333"/>
        </w:rPr>
      </w:pPr>
      <w:r>
        <w:rPr>
          <w:rFonts w:ascii="Times New Roman" w:eastAsia="Times New Roman" w:hAnsi="Times New Roman" w:cs="Times New Roman"/>
          <w:color w:val="333333"/>
        </w:rPr>
        <w:t>DE LA MAZA, Iñigo y Rodrigo MOMBERG (2018). “La transparencia como mecanismo de tutela de la privacidad de los consumidores y usuarios en contratos electrónicos”. Revista chilena de Derecho y Tecnología, vol. 7, n.º 2, Santiago.</w:t>
      </w:r>
    </w:p>
    <w:p w14:paraId="014ECC40" w14:textId="77777777" w:rsidR="00243289" w:rsidRDefault="00000000">
      <w:pPr>
        <w:numPr>
          <w:ilvl w:val="1"/>
          <w:numId w:val="4"/>
        </w:numPr>
        <w:pBdr>
          <w:top w:val="nil"/>
          <w:left w:val="nil"/>
          <w:bottom w:val="nil"/>
          <w:right w:val="nil"/>
          <w:between w:val="nil"/>
        </w:pBdr>
        <w:spacing w:before="200" w:after="200"/>
        <w:jc w:val="both"/>
        <w:rPr>
          <w:rFonts w:ascii="Times New Roman" w:eastAsia="Times New Roman" w:hAnsi="Times New Roman" w:cs="Times New Roman"/>
          <w:color w:val="000000"/>
        </w:rPr>
      </w:pPr>
      <w:r>
        <w:rPr>
          <w:rFonts w:ascii="Times New Roman" w:eastAsia="Times New Roman" w:hAnsi="Times New Roman" w:cs="Times New Roman"/>
          <w:color w:val="333333"/>
        </w:rPr>
        <w:t>Traducciones: ZIMMERMANN, Reinhard (2008). El nuevo derecho alemán de obligaciones. Un análisis desde la Historia y el Derecho comparado. (trad.) Esther ARROYO I AMAYUELAS. Barcelona: Bosch.</w:t>
      </w:r>
    </w:p>
    <w:p w14:paraId="46FE73B0" w14:textId="77777777" w:rsidR="00243289" w:rsidRDefault="00000000">
      <w:pPr>
        <w:numPr>
          <w:ilvl w:val="1"/>
          <w:numId w:val="4"/>
        </w:numPr>
        <w:pBdr>
          <w:top w:val="nil"/>
          <w:left w:val="nil"/>
          <w:bottom w:val="nil"/>
          <w:right w:val="nil"/>
          <w:between w:val="nil"/>
        </w:pBdr>
        <w:spacing w:before="200" w:after="200"/>
        <w:jc w:val="both"/>
        <w:rPr>
          <w:rFonts w:ascii="Times New Roman" w:eastAsia="Times New Roman" w:hAnsi="Times New Roman" w:cs="Times New Roman"/>
          <w:color w:val="000000"/>
        </w:rPr>
      </w:pPr>
      <w:r>
        <w:rPr>
          <w:rFonts w:ascii="Times New Roman" w:eastAsia="Times New Roman" w:hAnsi="Times New Roman" w:cs="Times New Roman"/>
          <w:color w:val="333333"/>
        </w:rPr>
        <w:t xml:space="preserve"> Documentos en formato electrónico: PIZARRO, Carlos (2007). “¿Puede el acreedor poner término unilateral al contrato?”. Ius et Praxis, vol. 13, n.º 1. Disponible en </w:t>
      </w:r>
      <w:hyperlink r:id="rId11">
        <w:r>
          <w:rPr>
            <w:rFonts w:ascii="Times New Roman" w:eastAsia="Times New Roman" w:hAnsi="Times New Roman" w:cs="Times New Roman"/>
            <w:color w:val="175981"/>
            <w:u w:val="single"/>
          </w:rPr>
          <w:t>https://scielo.conicyt.cl/scielo.php?script=sci_arttext&amp;pid=S0718-00122007000100002</w:t>
        </w:r>
      </w:hyperlink>
      <w:r>
        <w:rPr>
          <w:rFonts w:ascii="Times New Roman" w:eastAsia="Times New Roman" w:hAnsi="Times New Roman" w:cs="Times New Roman"/>
          <w:color w:val="333333"/>
        </w:rPr>
        <w:t xml:space="preserve"> [fecha de consulta: 23 de julio de 2020].</w:t>
      </w:r>
    </w:p>
    <w:p w14:paraId="2AA908DF" w14:textId="77777777" w:rsidR="00243289" w:rsidRDefault="00000000">
      <w:pPr>
        <w:numPr>
          <w:ilvl w:val="1"/>
          <w:numId w:val="4"/>
        </w:numPr>
        <w:pBdr>
          <w:top w:val="nil"/>
          <w:left w:val="nil"/>
          <w:bottom w:val="nil"/>
          <w:right w:val="nil"/>
          <w:between w:val="nil"/>
        </w:pBdr>
        <w:spacing w:before="200" w:after="200"/>
        <w:jc w:val="both"/>
        <w:rPr>
          <w:rFonts w:ascii="Times New Roman" w:eastAsia="Times New Roman" w:hAnsi="Times New Roman" w:cs="Times New Roman"/>
          <w:color w:val="000000"/>
        </w:rPr>
      </w:pPr>
      <w:r>
        <w:rPr>
          <w:rFonts w:ascii="Times New Roman" w:eastAsia="Times New Roman" w:hAnsi="Times New Roman" w:cs="Times New Roman"/>
          <w:color w:val="333333"/>
        </w:rPr>
        <w:t xml:space="preserve"> Las referencias abreviadas de las respectivas obras citadas se utilizarán en la nota al pie de la forma que se señalará a continuación: apellido del autor o autora en Versales o Versalitas, año de publicación (entre paréntesis) y el número de páginas a las que se hace referencia.</w:t>
      </w:r>
    </w:p>
    <w:p w14:paraId="31C62176" w14:textId="77777777" w:rsidR="00243289" w:rsidRDefault="00000000">
      <w:pPr>
        <w:numPr>
          <w:ilvl w:val="1"/>
          <w:numId w:val="4"/>
        </w:numPr>
        <w:pBdr>
          <w:top w:val="nil"/>
          <w:left w:val="nil"/>
          <w:bottom w:val="nil"/>
          <w:right w:val="nil"/>
          <w:between w:val="nil"/>
        </w:pBdr>
        <w:spacing w:before="200" w:after="200"/>
        <w:jc w:val="both"/>
        <w:rPr>
          <w:rFonts w:ascii="Times New Roman" w:eastAsia="Times New Roman" w:hAnsi="Times New Roman" w:cs="Times New Roman"/>
          <w:color w:val="000000"/>
        </w:rPr>
      </w:pPr>
      <w:r>
        <w:rPr>
          <w:rFonts w:ascii="Times New Roman" w:eastAsia="Times New Roman" w:hAnsi="Times New Roman" w:cs="Times New Roman"/>
          <w:color w:val="333333"/>
        </w:rPr>
        <w:t xml:space="preserve"> El lector podrá obtener los datos completos de la referencia en la sección “Bibliografía citada”.</w:t>
      </w:r>
    </w:p>
    <w:p w14:paraId="18FE8C87" w14:textId="77777777" w:rsidR="00243289" w:rsidRDefault="00000000">
      <w:pPr>
        <w:numPr>
          <w:ilvl w:val="1"/>
          <w:numId w:val="4"/>
        </w:numPr>
        <w:pBdr>
          <w:top w:val="nil"/>
          <w:left w:val="nil"/>
          <w:bottom w:val="nil"/>
          <w:right w:val="nil"/>
          <w:between w:val="nil"/>
        </w:pBdr>
        <w:spacing w:before="200" w:after="200"/>
        <w:jc w:val="both"/>
        <w:rPr>
          <w:rFonts w:ascii="Times New Roman" w:eastAsia="Times New Roman" w:hAnsi="Times New Roman" w:cs="Times New Roman"/>
          <w:color w:val="000000"/>
        </w:rPr>
      </w:pPr>
      <w:r>
        <w:rPr>
          <w:rFonts w:ascii="Times New Roman" w:eastAsia="Times New Roman" w:hAnsi="Times New Roman" w:cs="Times New Roman"/>
          <w:color w:val="333333"/>
        </w:rPr>
        <w:t xml:space="preserve"> Ejemplos de referencia abreviada:</w:t>
      </w:r>
    </w:p>
    <w:p w14:paraId="7861D6A7" w14:textId="77777777" w:rsidR="00243289" w:rsidRDefault="00000000">
      <w:pPr>
        <w:numPr>
          <w:ilvl w:val="2"/>
          <w:numId w:val="4"/>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333333"/>
        </w:rPr>
        <w:t>Obras con un autor o autora: FERRANDO (1999), pp. 22-24.</w:t>
      </w:r>
    </w:p>
    <w:p w14:paraId="5C74CD09" w14:textId="77777777" w:rsidR="00243289" w:rsidRDefault="00000000">
      <w:pPr>
        <w:numPr>
          <w:ilvl w:val="2"/>
          <w:numId w:val="4"/>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333333"/>
        </w:rPr>
        <w:t>Obras con dos autores o autoras: LÓPEZ y ELORRIAGA (2017), pp. 401-422.</w:t>
      </w:r>
    </w:p>
    <w:p w14:paraId="07EAC297" w14:textId="77777777" w:rsidR="00243289" w:rsidRDefault="00000000">
      <w:pPr>
        <w:numPr>
          <w:ilvl w:val="2"/>
          <w:numId w:val="4"/>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333333"/>
        </w:rPr>
        <w:t>Obras con más de dos autores o autoras: DÍEZ-PICAZO et al. (2002), p. 54.</w:t>
      </w:r>
    </w:p>
    <w:p w14:paraId="5437D90C" w14:textId="77777777" w:rsidR="00243289" w:rsidRDefault="00000000">
      <w:pPr>
        <w:numPr>
          <w:ilvl w:val="2"/>
          <w:numId w:val="4"/>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333333"/>
        </w:rPr>
        <w:t>Obra compuesta por tomo y/o volumen: ALESSANDRI (2011), tomo I, vol. 2, pp. 25-40.</w:t>
      </w:r>
    </w:p>
    <w:p w14:paraId="7D8E720E" w14:textId="77777777" w:rsidR="00243289" w:rsidRDefault="00000000">
      <w:pPr>
        <w:numPr>
          <w:ilvl w:val="2"/>
          <w:numId w:val="4"/>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333333"/>
        </w:rPr>
        <w:t>Dos o más obras del mismo autor o de la misma autora y año de publicación: CORRAL (2008a) y CORRAL (2008b).</w:t>
      </w:r>
    </w:p>
    <w:p w14:paraId="5CBA74FA" w14:textId="77777777" w:rsidR="00243289" w:rsidRDefault="00243289">
      <w:pPr>
        <w:pBdr>
          <w:top w:val="nil"/>
          <w:left w:val="nil"/>
          <w:bottom w:val="nil"/>
          <w:right w:val="nil"/>
          <w:between w:val="nil"/>
        </w:pBdr>
        <w:spacing w:before="200" w:after="200"/>
        <w:ind w:left="425"/>
        <w:jc w:val="both"/>
        <w:rPr>
          <w:rFonts w:ascii="Times New Roman" w:eastAsia="Times New Roman" w:hAnsi="Times New Roman" w:cs="Times New Roman"/>
          <w:color w:val="000000"/>
        </w:rPr>
      </w:pPr>
    </w:p>
    <w:p w14:paraId="78267841" w14:textId="77777777" w:rsidR="00243289" w:rsidRDefault="00000000">
      <w:pPr>
        <w:numPr>
          <w:ilvl w:val="1"/>
          <w:numId w:val="4"/>
        </w:numPr>
        <w:pBdr>
          <w:top w:val="nil"/>
          <w:left w:val="nil"/>
          <w:bottom w:val="nil"/>
          <w:right w:val="nil"/>
          <w:between w:val="nil"/>
        </w:pBdr>
        <w:spacing w:after="200"/>
        <w:jc w:val="both"/>
        <w:rPr>
          <w:rFonts w:ascii="Times New Roman" w:eastAsia="Times New Roman" w:hAnsi="Times New Roman" w:cs="Times New Roman"/>
          <w:color w:val="333333"/>
        </w:rPr>
      </w:pPr>
      <w:r>
        <w:rPr>
          <w:rFonts w:ascii="Times New Roman" w:eastAsia="Times New Roman" w:hAnsi="Times New Roman" w:cs="Times New Roman"/>
          <w:b/>
          <w:bCs/>
          <w:color w:val="333333"/>
        </w:rPr>
        <w:lastRenderedPageBreak/>
        <w:t>Normas citadas.</w:t>
      </w:r>
      <w:r>
        <w:rPr>
          <w:rFonts w:ascii="Times New Roman" w:eastAsia="Times New Roman" w:hAnsi="Times New Roman" w:cs="Times New Roman"/>
          <w:color w:val="333333"/>
        </w:rPr>
        <w:t xml:space="preserve"> Las referencias completas de las normas citadas se incluirán al final del trabajo, bajo el título “Normas citadas”. Se deberá incluir todas las todas las referencias legales o normativas y, en el caso de una ley, el número de ella, su denominación oficial, el título de la publicación en que aparece oficialmente, y la fecha de publicación (día, mes, año). Se exceptúan de las especificaciones anteriormente dadas, la Constitución Política de la República y los códigos nacionales, para los cuales bastará mencionarlas según su denominación oficial.</w:t>
      </w:r>
      <w:r>
        <w:rPr>
          <w:rFonts w:ascii="Times New Roman" w:eastAsia="Times New Roman" w:hAnsi="Times New Roman" w:cs="Times New Roman"/>
          <w:color w:val="333333"/>
        </w:rPr>
        <w:br/>
      </w:r>
      <w:r>
        <w:rPr>
          <w:rFonts w:ascii="Times New Roman" w:eastAsia="Times New Roman" w:hAnsi="Times New Roman" w:cs="Times New Roman"/>
          <w:color w:val="333333"/>
        </w:rPr>
        <w:br/>
        <w:t>Ejemplo de referencia completa: Ley n.º 19496, sobre protección de los derechos de los consumidores. Diario Oficial de la República de Chile, Santiago, 7 de marzo de 1997.</w:t>
      </w:r>
      <w:r>
        <w:rPr>
          <w:rFonts w:ascii="Times New Roman" w:eastAsia="Times New Roman" w:hAnsi="Times New Roman" w:cs="Times New Roman"/>
          <w:color w:val="333333"/>
        </w:rPr>
        <w:br/>
      </w:r>
      <w:r>
        <w:rPr>
          <w:rFonts w:ascii="Times New Roman" w:eastAsia="Times New Roman" w:hAnsi="Times New Roman" w:cs="Times New Roman"/>
          <w:color w:val="333333"/>
        </w:rPr>
        <w:br/>
        <w:t>La referencia abreviada de las respectivas normas citadas se utilizará en la nota al pie de la forma que se señalará a continuación. Se deberá indicar la norma citada, o el número de la ley, y su año de publicación.</w:t>
      </w:r>
    </w:p>
    <w:p w14:paraId="76E042DB" w14:textId="77777777" w:rsidR="00243289" w:rsidRDefault="00000000">
      <w:pPr>
        <w:pBdr>
          <w:top w:val="nil"/>
          <w:left w:val="nil"/>
          <w:bottom w:val="nil"/>
          <w:right w:val="nil"/>
          <w:between w:val="nil"/>
        </w:pBdr>
        <w:spacing w:after="200"/>
        <w:ind w:left="785"/>
        <w:jc w:val="both"/>
        <w:rPr>
          <w:rFonts w:ascii="Times New Roman" w:eastAsia="Times New Roman" w:hAnsi="Times New Roman" w:cs="Times New Roman"/>
          <w:color w:val="333333"/>
        </w:rPr>
      </w:pPr>
      <w:r>
        <w:rPr>
          <w:rFonts w:ascii="Times New Roman" w:eastAsia="Times New Roman" w:hAnsi="Times New Roman" w:cs="Times New Roman"/>
          <w:color w:val="333333"/>
        </w:rPr>
        <w:t>El lector podrá obtener los datos completos de la referencia en la sección “Normas citadas”.</w:t>
      </w:r>
      <w:r>
        <w:rPr>
          <w:rFonts w:ascii="Times New Roman" w:eastAsia="Times New Roman" w:hAnsi="Times New Roman" w:cs="Times New Roman"/>
          <w:color w:val="333333"/>
        </w:rPr>
        <w:br/>
      </w:r>
      <w:r>
        <w:rPr>
          <w:rFonts w:ascii="Times New Roman" w:eastAsia="Times New Roman" w:hAnsi="Times New Roman" w:cs="Times New Roman"/>
          <w:color w:val="333333"/>
        </w:rPr>
        <w:br/>
        <w:t>Ejemplo de referencia abreviada: Ley n.º 19496, de 1997.</w:t>
      </w:r>
    </w:p>
    <w:p w14:paraId="1471C552" w14:textId="77777777" w:rsidR="00243289" w:rsidRDefault="00000000">
      <w:pPr>
        <w:numPr>
          <w:ilvl w:val="1"/>
          <w:numId w:val="4"/>
        </w:num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333333"/>
        </w:rPr>
        <w:t xml:space="preserve">Jurisprudencia citada. </w:t>
      </w:r>
      <w:r>
        <w:rPr>
          <w:rFonts w:ascii="Times New Roman" w:eastAsia="Times New Roman" w:hAnsi="Times New Roman" w:cs="Times New Roman"/>
          <w:color w:val="333333"/>
        </w:rPr>
        <w:t>Las referencias completas de las sentencias utilizadas incluirán al final del trabajo, bajo el título “Jurisprudencia citada”. Se ordenarán cronológica y alfabéticamente por el nombre de las partes. Se hará indicación de las partes, el tribunal, fecha, rol y lugar de publicación si corresponde.</w:t>
      </w:r>
      <w:r>
        <w:rPr>
          <w:rFonts w:ascii="Times New Roman" w:eastAsia="Times New Roman" w:hAnsi="Times New Roman" w:cs="Times New Roman"/>
          <w:color w:val="333333"/>
        </w:rPr>
        <w:br/>
      </w:r>
      <w:r>
        <w:rPr>
          <w:rFonts w:ascii="Times New Roman" w:eastAsia="Times New Roman" w:hAnsi="Times New Roman" w:cs="Times New Roman"/>
          <w:color w:val="333333"/>
        </w:rPr>
        <w:br/>
        <w:t>Las sentencias se indicarán según el nombre de las partes y el año de la sentencia (entre paréntesis y en redondas), seguido de dos puntos (:), la referencia del tribunal que la haya dictado, la fecha en que se dictó la sentencia (día, mes, año), rol de la causa y lugar en que fue publicada la sentencia según referencia completa o abreviada indicando volumen, año, secciones y página o número identificador si es una base de datos electrónica.</w:t>
      </w:r>
      <w:r>
        <w:rPr>
          <w:rFonts w:ascii="Times New Roman" w:eastAsia="Times New Roman" w:hAnsi="Times New Roman" w:cs="Times New Roman"/>
          <w:color w:val="333333"/>
        </w:rPr>
        <w:br/>
      </w:r>
      <w:r>
        <w:rPr>
          <w:rFonts w:ascii="Times New Roman" w:eastAsia="Times New Roman" w:hAnsi="Times New Roman" w:cs="Times New Roman"/>
          <w:color w:val="333333"/>
        </w:rPr>
        <w:br/>
        <w:t>Si las partes de la sentencia son personas naturales deben indicarse sólo las iniciales, con el objeto de proteger su identidad y datos personales.</w:t>
      </w:r>
    </w:p>
    <w:p w14:paraId="6BAB94B5" w14:textId="77777777" w:rsidR="00243289" w:rsidRDefault="00243289">
      <w:pPr>
        <w:pBdr>
          <w:top w:val="nil"/>
          <w:left w:val="nil"/>
          <w:bottom w:val="nil"/>
          <w:right w:val="nil"/>
          <w:between w:val="nil"/>
        </w:pBdr>
        <w:ind w:left="360"/>
        <w:jc w:val="both"/>
        <w:rPr>
          <w:rFonts w:ascii="Times New Roman" w:eastAsia="Times New Roman" w:hAnsi="Times New Roman" w:cs="Times New Roman"/>
          <w:b/>
          <w:bCs/>
          <w:color w:val="000000"/>
        </w:rPr>
      </w:pPr>
    </w:p>
    <w:p w14:paraId="3074CD41" w14:textId="77777777" w:rsidR="00243289" w:rsidRDefault="00000000">
      <w:pPr>
        <w:pBdr>
          <w:top w:val="nil"/>
          <w:left w:val="nil"/>
          <w:bottom w:val="nil"/>
          <w:right w:val="nil"/>
          <w:between w:val="nil"/>
        </w:pBdr>
        <w:ind w:left="360"/>
        <w:jc w:val="both"/>
        <w:rPr>
          <w:rFonts w:ascii="Times New Roman" w:eastAsia="Times New Roman" w:hAnsi="Times New Roman" w:cs="Times New Roman"/>
          <w:color w:val="333333"/>
        </w:rPr>
      </w:pPr>
      <w:r>
        <w:rPr>
          <w:rFonts w:ascii="Times New Roman" w:eastAsia="Times New Roman" w:hAnsi="Times New Roman" w:cs="Times New Roman"/>
          <w:color w:val="333333"/>
        </w:rPr>
        <w:t>Ejemplo de referencia completa: G. F. R. G. con Comercial Automotora del Maule S.A. (2003): Corte Suprema, 24 de julio de 2003, rol n.º 1726-2002, en Gaceta Jurídica, n.º 277, Santiago, p. 245 y ss.</w:t>
      </w:r>
    </w:p>
    <w:p w14:paraId="0BF306DD" w14:textId="77777777" w:rsidR="00243289" w:rsidRDefault="00243289">
      <w:pPr>
        <w:pBdr>
          <w:top w:val="nil"/>
          <w:left w:val="nil"/>
          <w:bottom w:val="nil"/>
          <w:right w:val="nil"/>
          <w:between w:val="nil"/>
        </w:pBdr>
        <w:ind w:left="360"/>
        <w:jc w:val="both"/>
        <w:rPr>
          <w:rFonts w:ascii="Times New Roman" w:eastAsia="Times New Roman" w:hAnsi="Times New Roman" w:cs="Times New Roman"/>
          <w:color w:val="333333"/>
        </w:rPr>
      </w:pPr>
    </w:p>
    <w:p w14:paraId="055B145F" w14:textId="77777777" w:rsidR="00243289" w:rsidRDefault="00000000">
      <w:pPr>
        <w:pBdr>
          <w:top w:val="nil"/>
          <w:left w:val="nil"/>
          <w:bottom w:val="nil"/>
          <w:right w:val="nil"/>
          <w:between w:val="nil"/>
        </w:pBdr>
        <w:ind w:left="360"/>
        <w:jc w:val="both"/>
        <w:rPr>
          <w:rFonts w:ascii="Times New Roman" w:eastAsia="Times New Roman" w:hAnsi="Times New Roman" w:cs="Times New Roman"/>
          <w:color w:val="333333"/>
        </w:rPr>
      </w:pPr>
      <w:r>
        <w:rPr>
          <w:rFonts w:ascii="Times New Roman" w:eastAsia="Times New Roman" w:hAnsi="Times New Roman" w:cs="Times New Roman"/>
          <w:color w:val="333333"/>
        </w:rPr>
        <w:t xml:space="preserve"> A. R. R. con Aguas del Altiplano S.A. (2008): Corte de Apelaciones de Iquique, 10 de marzo de 2008, rol n.º 165-2007, Legal Publishing CL/JUR/5359/2008.</w:t>
      </w:r>
    </w:p>
    <w:p w14:paraId="122929F3" w14:textId="77777777" w:rsidR="00243289" w:rsidRDefault="00243289">
      <w:pPr>
        <w:pBdr>
          <w:top w:val="nil"/>
          <w:left w:val="nil"/>
          <w:bottom w:val="nil"/>
          <w:right w:val="nil"/>
          <w:between w:val="nil"/>
        </w:pBdr>
        <w:ind w:left="360"/>
        <w:jc w:val="both"/>
        <w:rPr>
          <w:rFonts w:ascii="Times New Roman" w:eastAsia="Times New Roman" w:hAnsi="Times New Roman" w:cs="Times New Roman"/>
          <w:color w:val="333333"/>
        </w:rPr>
      </w:pPr>
    </w:p>
    <w:p w14:paraId="503B13E9" w14:textId="77777777" w:rsidR="00243289" w:rsidRDefault="00000000">
      <w:pPr>
        <w:pBdr>
          <w:top w:val="nil"/>
          <w:left w:val="nil"/>
          <w:bottom w:val="nil"/>
          <w:right w:val="nil"/>
          <w:between w:val="nil"/>
        </w:pBdr>
        <w:ind w:left="360"/>
        <w:jc w:val="both"/>
        <w:rPr>
          <w:rFonts w:ascii="Times New Roman" w:eastAsia="Times New Roman" w:hAnsi="Times New Roman" w:cs="Times New Roman"/>
          <w:color w:val="333333"/>
        </w:rPr>
      </w:pPr>
      <w:r>
        <w:rPr>
          <w:rFonts w:ascii="Times New Roman" w:eastAsia="Times New Roman" w:hAnsi="Times New Roman" w:cs="Times New Roman"/>
          <w:color w:val="333333"/>
        </w:rPr>
        <w:t>Sentencia del Tribunal Supremo (1993): 19 de febrero de 1993, n.º 130/1993, en ECLI:ES:TS:1993:19110.</w:t>
      </w:r>
      <w:r>
        <w:rPr>
          <w:rFonts w:ascii="Times New Roman" w:eastAsia="Times New Roman" w:hAnsi="Times New Roman" w:cs="Times New Roman"/>
          <w:color w:val="333333"/>
        </w:rPr>
        <w:br/>
      </w:r>
      <w:r>
        <w:rPr>
          <w:rFonts w:ascii="Times New Roman" w:eastAsia="Times New Roman" w:hAnsi="Times New Roman" w:cs="Times New Roman"/>
          <w:color w:val="333333"/>
        </w:rPr>
        <w:br/>
        <w:t>La referencia abreviada de las sentencias utilizadas se efectuará en la nota al pie de la forma que se señalará a continuación. Se deberá indicar el nombre de las partes en redonda y el año en que se dictó la sentencia (entre paréntesis y sin cursiva).</w:t>
      </w:r>
      <w:r>
        <w:rPr>
          <w:rFonts w:ascii="Times New Roman" w:eastAsia="Times New Roman" w:hAnsi="Times New Roman" w:cs="Times New Roman"/>
          <w:color w:val="333333"/>
        </w:rPr>
        <w:br/>
      </w:r>
      <w:r>
        <w:rPr>
          <w:rFonts w:ascii="Times New Roman" w:eastAsia="Times New Roman" w:hAnsi="Times New Roman" w:cs="Times New Roman"/>
          <w:color w:val="333333"/>
        </w:rPr>
        <w:lastRenderedPageBreak/>
        <w:br/>
        <w:t>El lector podrá obtener los datos completos de la referencia en la sección “Jurisprudencia citada”.</w:t>
      </w:r>
      <w:r>
        <w:rPr>
          <w:rFonts w:ascii="Times New Roman" w:eastAsia="Times New Roman" w:hAnsi="Times New Roman" w:cs="Times New Roman"/>
          <w:color w:val="333333"/>
        </w:rPr>
        <w:br/>
      </w:r>
      <w:r>
        <w:rPr>
          <w:rFonts w:ascii="Times New Roman" w:eastAsia="Times New Roman" w:hAnsi="Times New Roman" w:cs="Times New Roman"/>
          <w:color w:val="333333"/>
        </w:rPr>
        <w:br/>
        <w:t>Ejemplo de referencia abreviada:</w:t>
      </w:r>
    </w:p>
    <w:p w14:paraId="0577BA2C" w14:textId="77777777" w:rsidR="00243289" w:rsidRDefault="00000000">
      <w:pPr>
        <w:pBdr>
          <w:top w:val="nil"/>
          <w:left w:val="nil"/>
          <w:bottom w:val="nil"/>
          <w:right w:val="nil"/>
          <w:between w:val="nil"/>
        </w:pBdr>
        <w:ind w:left="360"/>
        <w:jc w:val="both"/>
        <w:rPr>
          <w:rFonts w:ascii="Times New Roman" w:eastAsia="Times New Roman" w:hAnsi="Times New Roman" w:cs="Times New Roman"/>
          <w:b/>
          <w:bCs/>
          <w:color w:val="000000"/>
        </w:rPr>
      </w:pPr>
      <w:r>
        <w:rPr>
          <w:rFonts w:ascii="Times New Roman" w:eastAsia="Times New Roman" w:hAnsi="Times New Roman" w:cs="Times New Roman"/>
          <w:color w:val="333333"/>
        </w:rPr>
        <w:t>Ejemplo: A. R. R. con Aguas del Altiplano S.A. (2008).</w:t>
      </w:r>
    </w:p>
    <w:p w14:paraId="5D2DEC5F" w14:textId="77777777" w:rsidR="00243289" w:rsidRDefault="00000000">
      <w:pPr>
        <w:pBdr>
          <w:top w:val="nil"/>
          <w:left w:val="nil"/>
          <w:bottom w:val="nil"/>
          <w:right w:val="nil"/>
          <w:between w:val="nil"/>
        </w:pBdr>
        <w:ind w:left="360"/>
        <w:jc w:val="both"/>
        <w:rPr>
          <w:rFonts w:ascii="Times New Roman" w:eastAsia="Times New Roman" w:hAnsi="Times New Roman" w:cs="Times New Roman"/>
          <w:b/>
          <w:bCs/>
          <w:color w:val="000000"/>
        </w:rPr>
      </w:pPr>
      <w:r>
        <w:rPr>
          <w:rFonts w:ascii="Times New Roman" w:eastAsia="Times New Roman" w:hAnsi="Times New Roman" w:cs="Times New Roman"/>
          <w:color w:val="333333"/>
        </w:rPr>
        <w:t>Sentencia del Tribunal Supremo (1993).</w:t>
      </w:r>
    </w:p>
    <w:sectPr w:rsidR="00243289">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embedRegular r:id="rId1" w:fontKey="{83F15153-6B2C-3D46-88A1-F7D0CF0E7740}"/>
  </w:font>
  <w:font w:name="Courier New">
    <w:panose1 w:val="02070309020205020404"/>
    <w:charset w:val="00"/>
    <w:family w:val="modern"/>
    <w:pitch w:val="fixed"/>
    <w:sig w:usb0="E0002AFF" w:usb1="C0007843" w:usb2="00000009" w:usb3="00000000" w:csb0="000001FF" w:csb1="00000000"/>
    <w:embedRegular r:id="rId2" w:fontKey="{BDA412A7-CFD6-F44B-B384-541BDA8807F3}"/>
  </w:font>
  <w:font w:name="Times New Roman">
    <w:panose1 w:val="02020603050405020304"/>
    <w:charset w:val="00"/>
    <w:family w:val="roman"/>
    <w:pitch w:val="variable"/>
    <w:sig w:usb0="E0002EFF" w:usb1="C000785B" w:usb2="00000009" w:usb3="00000000" w:csb0="000001FF" w:csb1="00000000"/>
    <w:embedRegular r:id="rId3" w:fontKey="{2210D04F-C840-5B4B-BBB2-05103FE5C98C}"/>
    <w:embedBold r:id="rId4" w:fontKey="{9BF6D205-28A8-5845-AB55-7380BB58DFAC}"/>
    <w:embedItalic r:id="rId5" w:fontKey="{98881078-7FC9-AB4A-9F6A-591D29BA4EEF}"/>
  </w:font>
  <w:font w:name="Aptos">
    <w:panose1 w:val="020B0004020202020204"/>
    <w:charset w:val="00"/>
    <w:family w:val="swiss"/>
    <w:pitch w:val="variable"/>
    <w:sig w:usb0="20000287" w:usb1="00000003" w:usb2="00000000" w:usb3="00000000" w:csb0="0000019F" w:csb1="00000000"/>
    <w:embedRegular r:id="rId6" w:fontKey="{668D1064-297A-6F45-B40F-90B3D1BC6B82}"/>
    <w:embedItalic r:id="rId7" w:fontKey="{46708EDC-8094-2F42-9CCB-E93C92E29170}"/>
  </w:font>
  <w:font w:name="Play">
    <w:panose1 w:val="020B0604020202020204"/>
    <w:charset w:val="00"/>
    <w:family w:val="auto"/>
    <w:pitch w:val="default"/>
    <w:embedRegular r:id="rId8" w:fontKey="{51590C54-5115-304A-B7AD-72060269B29B}"/>
    <w:embedBold r:id="rId9" w:fontKey="{61A30566-135F-8944-859C-F1E0D55F3099}"/>
  </w:font>
  <w:font w:name="Aptos Display">
    <w:panose1 w:val="020B0004020202020204"/>
    <w:charset w:val="00"/>
    <w:family w:val="swiss"/>
    <w:pitch w:val="variable"/>
    <w:sig w:usb0="20000287" w:usb1="00000003" w:usb2="00000000" w:usb3="00000000" w:csb0="0000019F" w:csb1="00000000"/>
    <w:embedRegular r:id="rId10" w:fontKey="{1AD4A2E1-E511-5F44-8AD9-288D48325044}"/>
  </w:font>
  <w:font w:name="-webkit-standard">
    <w:altName w:val="Cambria"/>
    <w:panose1 w:val="020B0604020202020204"/>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68317D"/>
    <w:multiLevelType w:val="multilevel"/>
    <w:tmpl w:val="A588BC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 w15:restartNumberingAfterBreak="0">
    <w:nsid w:val="29986539"/>
    <w:multiLevelType w:val="multilevel"/>
    <w:tmpl w:val="267E09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F066EC1"/>
    <w:multiLevelType w:val="multilevel"/>
    <w:tmpl w:val="40E4C0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D166D31"/>
    <w:multiLevelType w:val="multilevel"/>
    <w:tmpl w:val="87D8D7EA"/>
    <w:lvl w:ilvl="0">
      <w:start w:val="1"/>
      <w:numFmt w:val="decimal"/>
      <w:lvlText w:val="%1."/>
      <w:lvlJc w:val="left"/>
      <w:pPr>
        <w:ind w:left="360" w:hanging="360"/>
      </w:pPr>
    </w:lvl>
    <w:lvl w:ilvl="1">
      <w:start w:val="6"/>
      <w:numFmt w:val="bullet"/>
      <w:lvlText w:val="-"/>
      <w:lvlJc w:val="left"/>
      <w:pPr>
        <w:ind w:left="360" w:hanging="360"/>
      </w:pPr>
      <w:rPr>
        <w:rFonts w:ascii="Times New Roman" w:eastAsia="Times New Roman" w:hAnsi="Times New Roman" w:cs="Times New Roman"/>
      </w:rPr>
    </w:lvl>
    <w:lvl w:ilvl="2">
      <w:start w:val="1"/>
      <w:numFmt w:val="bullet"/>
      <w:lvlText w:val="●"/>
      <w:lvlJc w:val="left"/>
      <w:pPr>
        <w:ind w:left="1210" w:hanging="360"/>
      </w:pPr>
      <w:rPr>
        <w:rFonts w:ascii="Noto Sans Symbols" w:eastAsia="Noto Sans Symbols" w:hAnsi="Noto Sans Symbols" w:cs="Noto Sans Symbols"/>
        <w:sz w:val="18"/>
        <w:szCs w:val="18"/>
      </w:r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num w:numId="1" w16cid:durableId="986318237">
    <w:abstractNumId w:val="2"/>
  </w:num>
  <w:num w:numId="2" w16cid:durableId="225266532">
    <w:abstractNumId w:val="1"/>
  </w:num>
  <w:num w:numId="3" w16cid:durableId="655454908">
    <w:abstractNumId w:val="0"/>
  </w:num>
  <w:num w:numId="4" w16cid:durableId="20677512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289"/>
    <w:rsid w:val="00243289"/>
    <w:rsid w:val="003A0759"/>
    <w:rsid w:val="00716D3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4:docId w14:val="2B6F79E7"/>
  <w15:docId w15:val="{CDD379AF-C358-9241-ABEB-94D5C9F6F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C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iCs/>
      <w:color w:val="595959"/>
    </w:rPr>
  </w:style>
  <w:style w:type="paragraph" w:styleId="Ttulo7">
    <w:name w:val="heading 7"/>
    <w:basedOn w:val="Normal"/>
    <w:next w:val="Normal"/>
    <w:link w:val="Ttulo7Car"/>
    <w:uiPriority w:val="9"/>
    <w:semiHidden/>
    <w:unhideWhenUsed/>
    <w:qFormat/>
    <w:rsid w:val="00D33724"/>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33724"/>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33724"/>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pPr>
    <w:rPr>
      <w:rFonts w:ascii="Play" w:eastAsia="Play" w:hAnsi="Play" w:cs="Play"/>
      <w:sz w:val="56"/>
      <w:szCs w:val="56"/>
    </w:rPr>
  </w:style>
  <w:style w:type="character" w:customStyle="1" w:styleId="Ttulo1Car">
    <w:name w:val="Título 1 Car"/>
    <w:basedOn w:val="Fuentedeprrafopredeter"/>
    <w:uiPriority w:val="9"/>
    <w:rsid w:val="00D3372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D3372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D33724"/>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D33724"/>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D33724"/>
    <w:rPr>
      <w:rFonts w:eastAsiaTheme="majorEastAsia" w:cstheme="majorBidi"/>
      <w:color w:val="0F4761" w:themeColor="accent1" w:themeShade="BF"/>
    </w:rPr>
  </w:style>
  <w:style w:type="character" w:customStyle="1" w:styleId="Ttulo6Car">
    <w:name w:val="Título 6 Car"/>
    <w:basedOn w:val="Fuentedeprrafopredeter"/>
    <w:uiPriority w:val="9"/>
    <w:semiHidden/>
    <w:rsid w:val="00D3372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3372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3372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33724"/>
    <w:rPr>
      <w:rFonts w:eastAsiaTheme="majorEastAsia" w:cstheme="majorBidi"/>
      <w:color w:val="272727" w:themeColor="text1" w:themeTint="D8"/>
    </w:rPr>
  </w:style>
  <w:style w:type="character" w:customStyle="1" w:styleId="TtuloCar">
    <w:name w:val="Título Car"/>
    <w:basedOn w:val="Fuentedeprrafopredeter"/>
    <w:uiPriority w:val="10"/>
    <w:rsid w:val="00D33724"/>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D3372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33724"/>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D33724"/>
    <w:rPr>
      <w:i/>
      <w:iCs/>
      <w:color w:val="404040" w:themeColor="text1" w:themeTint="BF"/>
    </w:rPr>
  </w:style>
  <w:style w:type="paragraph" w:styleId="Prrafodelista">
    <w:name w:val="List Paragraph"/>
    <w:basedOn w:val="Normal"/>
    <w:uiPriority w:val="34"/>
    <w:qFormat/>
    <w:rsid w:val="00D33724"/>
    <w:pPr>
      <w:ind w:left="720"/>
      <w:contextualSpacing/>
    </w:pPr>
  </w:style>
  <w:style w:type="character" w:styleId="nfasisintenso">
    <w:name w:val="Intense Emphasis"/>
    <w:basedOn w:val="Fuentedeprrafopredeter"/>
    <w:uiPriority w:val="21"/>
    <w:qFormat/>
    <w:rsid w:val="00D33724"/>
    <w:rPr>
      <w:i/>
      <w:iCs/>
      <w:color w:val="0F4761" w:themeColor="accent1" w:themeShade="BF"/>
    </w:rPr>
  </w:style>
  <w:style w:type="paragraph" w:styleId="Citadestacada">
    <w:name w:val="Intense Quote"/>
    <w:basedOn w:val="Normal"/>
    <w:next w:val="Normal"/>
    <w:link w:val="CitadestacadaCar"/>
    <w:uiPriority w:val="30"/>
    <w:qFormat/>
    <w:rsid w:val="00D337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33724"/>
    <w:rPr>
      <w:i/>
      <w:iCs/>
      <w:color w:val="0F4761" w:themeColor="accent1" w:themeShade="BF"/>
    </w:rPr>
  </w:style>
  <w:style w:type="character" w:styleId="Referenciaintensa">
    <w:name w:val="Intense Reference"/>
    <w:basedOn w:val="Fuentedeprrafopredeter"/>
    <w:uiPriority w:val="32"/>
    <w:qFormat/>
    <w:rsid w:val="00D33724"/>
    <w:rPr>
      <w:b/>
      <w:bCs/>
      <w:smallCaps/>
      <w:color w:val="0F4761" w:themeColor="accent1" w:themeShade="BF"/>
      <w:spacing w:val="5"/>
    </w:rPr>
  </w:style>
  <w:style w:type="paragraph" w:styleId="NormalWeb">
    <w:name w:val="Normal (Web)"/>
    <w:basedOn w:val="Normal"/>
    <w:uiPriority w:val="99"/>
    <w:unhideWhenUsed/>
    <w:rsid w:val="00D33724"/>
    <w:pPr>
      <w:spacing w:before="100" w:beforeAutospacing="1" w:after="100" w:afterAutospacing="1"/>
    </w:pPr>
    <w:rPr>
      <w:rFonts w:ascii="Times New Roman" w:eastAsia="Times New Roman" w:hAnsi="Times New Roman" w:cs="Times New Roman"/>
    </w:rPr>
  </w:style>
  <w:style w:type="character" w:styleId="Fuerte">
    <w:name w:val="Strong"/>
    <w:basedOn w:val="Fuentedeprrafopredeter"/>
    <w:uiPriority w:val="22"/>
    <w:qFormat/>
    <w:rsid w:val="00D33724"/>
    <w:rPr>
      <w:b/>
      <w:bCs/>
    </w:rPr>
  </w:style>
  <w:style w:type="character" w:customStyle="1" w:styleId="apple-converted-space">
    <w:name w:val="apple-converted-space"/>
    <w:basedOn w:val="Fuentedeprrafopredeter"/>
    <w:rsid w:val="00D33724"/>
  </w:style>
  <w:style w:type="character" w:styleId="Hipervnculo">
    <w:name w:val="Hyperlink"/>
    <w:basedOn w:val="Fuentedeprrafopredeter"/>
    <w:uiPriority w:val="99"/>
    <w:unhideWhenUsed/>
    <w:rsid w:val="009A3406"/>
    <w:rPr>
      <w:color w:val="467886" w:themeColor="hyperlink"/>
      <w:u w:val="single"/>
    </w:rPr>
  </w:style>
  <w:style w:type="character" w:styleId="Mencinsinresolver">
    <w:name w:val="Unresolved Mention"/>
    <w:basedOn w:val="Fuentedeprrafopredeter"/>
    <w:uiPriority w:val="99"/>
    <w:semiHidden/>
    <w:unhideWhenUsed/>
    <w:rsid w:val="009A3406"/>
    <w:rPr>
      <w:color w:val="605E5C"/>
      <w:shd w:val="clear" w:color="auto" w:fill="E1DFDD"/>
    </w:rPr>
  </w:style>
  <w:style w:type="paragraph" w:styleId="Subttulo">
    <w:name w:val="Subtitle"/>
    <w:basedOn w:val="Normal"/>
    <w:next w:val="Normal"/>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programaderechopublico@mail.udp.cl" TargetMode="External"/><Relationship Id="rId11" Type="http://schemas.openxmlformats.org/officeDocument/2006/relationships/hyperlink" Target="https://scielo.conicyt.cl/scielo.php?script=sci_arttext&amp;pid=S0718-00122007000100002" TargetMode="External"/><Relationship Id="rId5" Type="http://schemas.openxmlformats.org/officeDocument/2006/relationships/webSettings" Target="webSettings.xml"/><Relationship Id="rId10" Type="http://schemas.openxmlformats.org/officeDocument/2006/relationships/hyperlink" Target="mailto:reynaldo.lam@mail.udp.cl" TargetMode="External"/><Relationship Id="rId4" Type="http://schemas.openxmlformats.org/officeDocument/2006/relationships/settings" Target="settings.xml"/><Relationship Id="rId9" Type="http://schemas.openxmlformats.org/officeDocument/2006/relationships/hyperlink" Target="mailto:tamara.carrera@mail.udp.c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dj8VXbRXmfDBsF4edVcx8GoswQ==">CgMxLjA4AGomChRzdWdnZXN0LmF0eHU0Mm41OG13NBIORG9taW5nbyBMb3ZlcmFyITFiNndBMzUyMU9hS0Y1WWtsTXdCNGt4TEdLdkdxXzJkTA==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1784</Words>
  <Characters>9642</Characters>
  <Application>Microsoft Office Word</Application>
  <DocSecurity>0</DocSecurity>
  <Lines>212</Lines>
  <Paragraphs>65</Paragraphs>
  <ScaleCrop>false</ScaleCrop>
  <Company/>
  <LinksUpToDate>false</LinksUpToDate>
  <CharactersWithSpaces>11395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Reynaldo L. Peña</dc:creator>
  <cp:lastModifiedBy>Reynaldo L. Peña</cp:lastModifiedBy>
  <cp:revision>2</cp:revision>
  <dcterms:created xsi:type="dcterms:W3CDTF">2026-03-31T14:32:00Z</dcterms:created>
  <dcterms:modified xsi:type="dcterms:W3CDTF">2026-04-23T15:43:00Z</dcterms:modified>
</cp:coreProperties>
</file>